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807B4A" w:rsidRPr="005E1262" w14:paraId="6443E6FD" w14:textId="77777777" w:rsidTr="000A3B32">
        <w:trPr>
          <w:trHeight w:val="398"/>
        </w:trPr>
        <w:tc>
          <w:tcPr>
            <w:tcW w:w="4195" w:type="dxa"/>
            <w:vAlign w:val="center"/>
          </w:tcPr>
          <w:p w14:paraId="1F358BE1" w14:textId="6E054986" w:rsidR="00807B4A" w:rsidRPr="005E1262" w:rsidRDefault="00807B4A" w:rsidP="000A3B32">
            <w:pPr>
              <w:pStyle w:val="af9"/>
              <w:rPr>
                <w:rFonts w:ascii="Tahoma" w:hAnsi="Tahoma" w:cs="Tahoma"/>
                <w:sz w:val="20"/>
                <w:szCs w:val="20"/>
              </w:rPr>
            </w:pPr>
            <w:r>
              <w:rPr>
                <w:rFonts w:ascii="Tahoma" w:hAnsi="Tahoma" w:cs="Tahoma"/>
                <w:sz w:val="20"/>
                <w:szCs w:val="20"/>
              </w:rPr>
              <w:t>УТВЕРЖДЕНЫ</w:t>
            </w:r>
          </w:p>
        </w:tc>
      </w:tr>
      <w:tr w:rsidR="00807B4A" w:rsidRPr="005E1262" w14:paraId="7F4743C1" w14:textId="77777777" w:rsidTr="000A3B32">
        <w:trPr>
          <w:trHeight w:val="378"/>
        </w:trPr>
        <w:tc>
          <w:tcPr>
            <w:tcW w:w="4195" w:type="dxa"/>
            <w:vAlign w:val="center"/>
          </w:tcPr>
          <w:p w14:paraId="1C017737" w14:textId="77777777" w:rsidR="00807B4A" w:rsidRPr="005E1262" w:rsidRDefault="00807B4A" w:rsidP="000A3B32">
            <w:pPr>
              <w:pStyle w:val="af9"/>
              <w:rPr>
                <w:rFonts w:ascii="Tahoma" w:hAnsi="Tahoma" w:cs="Tahoma"/>
                <w:sz w:val="20"/>
                <w:szCs w:val="20"/>
              </w:rPr>
            </w:pPr>
            <w:r>
              <w:rPr>
                <w:rFonts w:ascii="Tahoma" w:hAnsi="Tahoma" w:cs="Tahoma"/>
                <w:sz w:val="20"/>
                <w:szCs w:val="20"/>
              </w:rPr>
              <w:t>п</w:t>
            </w:r>
            <w:r w:rsidRPr="005E1262">
              <w:rPr>
                <w:rFonts w:ascii="Tahoma" w:hAnsi="Tahoma" w:cs="Tahoma"/>
                <w:sz w:val="20"/>
                <w:szCs w:val="20"/>
              </w:rPr>
              <w:t>риказом ООО «</w:t>
            </w:r>
            <w:r>
              <w:rPr>
                <w:rFonts w:ascii="Tahoma" w:hAnsi="Tahoma" w:cs="Tahoma"/>
                <w:sz w:val="20"/>
                <w:szCs w:val="20"/>
              </w:rPr>
              <w:t>ЛИНКОР</w:t>
            </w:r>
            <w:r w:rsidRPr="005E1262">
              <w:rPr>
                <w:rFonts w:ascii="Tahoma" w:hAnsi="Tahoma" w:cs="Tahoma"/>
                <w:sz w:val="20"/>
                <w:szCs w:val="20"/>
              </w:rPr>
              <w:t>»</w:t>
            </w:r>
          </w:p>
        </w:tc>
      </w:tr>
      <w:tr w:rsidR="00807B4A" w:rsidRPr="005E1262" w14:paraId="3C5E79CF" w14:textId="77777777" w:rsidTr="000A3B32">
        <w:trPr>
          <w:trHeight w:val="378"/>
        </w:trPr>
        <w:tc>
          <w:tcPr>
            <w:tcW w:w="4195" w:type="dxa"/>
            <w:vAlign w:val="center"/>
          </w:tcPr>
          <w:p w14:paraId="6BFF4DF4" w14:textId="4125E952" w:rsidR="00807B4A" w:rsidRPr="005E1262" w:rsidRDefault="00807B4A" w:rsidP="000A3B32">
            <w:pPr>
              <w:pStyle w:val="af9"/>
              <w:rPr>
                <w:rFonts w:ascii="Tahoma" w:hAnsi="Tahoma" w:cs="Tahoma"/>
                <w:sz w:val="20"/>
                <w:szCs w:val="20"/>
              </w:rPr>
            </w:pPr>
            <w:r w:rsidRPr="00807B4A">
              <w:rPr>
                <w:rFonts w:ascii="Tahoma" w:hAnsi="Tahoma" w:cs="Tahoma"/>
                <w:sz w:val="20"/>
                <w:szCs w:val="20"/>
              </w:rPr>
              <w:t xml:space="preserve">от 09 июля 2026 г. № 22/26 - ЛИ </w:t>
            </w:r>
          </w:p>
        </w:tc>
      </w:tr>
      <w:tr w:rsidR="00807B4A" w:rsidRPr="005E1262" w14:paraId="69219ABC" w14:textId="77777777" w:rsidTr="000A3B32">
        <w:trPr>
          <w:trHeight w:val="378"/>
        </w:trPr>
        <w:tc>
          <w:tcPr>
            <w:tcW w:w="4195" w:type="dxa"/>
            <w:vAlign w:val="center"/>
          </w:tcPr>
          <w:p w14:paraId="0F73D0E5" w14:textId="77777777" w:rsidR="00807B4A" w:rsidRPr="005E1262" w:rsidRDefault="00807B4A" w:rsidP="000A3B32">
            <w:pPr>
              <w:pStyle w:val="af9"/>
              <w:rPr>
                <w:rFonts w:ascii="Tahoma" w:hAnsi="Tahoma" w:cs="Tahoma"/>
                <w:sz w:val="20"/>
                <w:szCs w:val="20"/>
              </w:rPr>
            </w:pPr>
          </w:p>
        </w:tc>
      </w:tr>
      <w:tr w:rsidR="00807B4A" w:rsidRPr="005E1262" w14:paraId="52D10747" w14:textId="77777777" w:rsidTr="000A3B32">
        <w:trPr>
          <w:trHeight w:val="378"/>
        </w:trPr>
        <w:tc>
          <w:tcPr>
            <w:tcW w:w="4195" w:type="dxa"/>
            <w:vAlign w:val="center"/>
          </w:tcPr>
          <w:p w14:paraId="2EBFD0FC" w14:textId="77777777" w:rsidR="00807B4A" w:rsidRDefault="00807B4A" w:rsidP="000A3B32">
            <w:pPr>
              <w:pStyle w:val="af9"/>
              <w:rPr>
                <w:rFonts w:ascii="Tahoma" w:hAnsi="Tahoma" w:cs="Tahoma"/>
                <w:sz w:val="20"/>
                <w:szCs w:val="20"/>
              </w:rPr>
            </w:pPr>
            <w:r w:rsidRPr="005E1262">
              <w:rPr>
                <w:rFonts w:ascii="Tahoma" w:hAnsi="Tahoma" w:cs="Tahoma"/>
                <w:sz w:val="20"/>
                <w:szCs w:val="20"/>
              </w:rPr>
              <w:t>Дата введения в действие</w:t>
            </w:r>
          </w:p>
          <w:p w14:paraId="493A0B51" w14:textId="0CD44E6A" w:rsidR="00807B4A" w:rsidRPr="00807B4A" w:rsidRDefault="00807B4A" w:rsidP="000A3B32">
            <w:pPr>
              <w:pStyle w:val="af9"/>
              <w:rPr>
                <w:rFonts w:ascii="Tahoma" w:hAnsi="Tahoma" w:cs="Tahoma"/>
                <w:sz w:val="20"/>
                <w:szCs w:val="20"/>
              </w:rPr>
            </w:pPr>
            <w:r w:rsidRPr="00807B4A">
              <w:rPr>
                <w:rFonts w:ascii="Tahoma" w:hAnsi="Tahoma" w:cs="Tahoma"/>
                <w:sz w:val="20"/>
                <w:szCs w:val="20"/>
              </w:rPr>
              <w:t>27.07.2026</w:t>
            </w:r>
          </w:p>
        </w:tc>
      </w:tr>
    </w:tbl>
    <w:p w14:paraId="525E24ED" w14:textId="28968F6E" w:rsidR="003C43C1" w:rsidRDefault="00807B4A" w:rsidP="00807B4A">
      <w:pPr>
        <w:tabs>
          <w:tab w:val="left" w:pos="6690"/>
        </w:tabs>
        <w:rPr>
          <w:rFonts w:ascii="Tahoma" w:hAnsi="Tahoma" w:cs="Tahoma"/>
        </w:rPr>
      </w:pPr>
      <w:r>
        <w:rPr>
          <w:noProof/>
        </w:rPr>
        <w:drawing>
          <wp:anchor distT="0" distB="0" distL="114300" distR="114300" simplePos="0" relativeHeight="251659264" behindDoc="0" locked="0" layoutInCell="1" allowOverlap="1" wp14:anchorId="2292CF4C" wp14:editId="752765E1">
            <wp:simplePos x="0" y="0"/>
            <wp:positionH relativeFrom="margin">
              <wp:posOffset>7620</wp:posOffset>
            </wp:positionH>
            <wp:positionV relativeFrom="margin">
              <wp:posOffset>-3810</wp:posOffset>
            </wp:positionV>
            <wp:extent cx="2267585" cy="647065"/>
            <wp:effectExtent l="0" t="0" r="0" b="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нкор _для документов.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585" cy="647065"/>
                    </a:xfrm>
                    <a:prstGeom prst="rect">
                      <a:avLst/>
                    </a:prstGeom>
                  </pic:spPr>
                </pic:pic>
              </a:graphicData>
            </a:graphic>
            <wp14:sizeRelH relativeFrom="margin">
              <wp14:pctWidth>0</wp14:pctWidth>
            </wp14:sizeRelH>
            <wp14:sizeRelV relativeFrom="margin">
              <wp14:pctHeight>0</wp14:pctHeight>
            </wp14:sizeRelV>
          </wp:anchor>
        </w:drawing>
      </w:r>
    </w:p>
    <w:p w14:paraId="00BB8353" w14:textId="77777777" w:rsidR="00025C95" w:rsidRPr="00D05CAB" w:rsidRDefault="00025C95" w:rsidP="00D05CAB">
      <w:pPr>
        <w:ind w:left="5812"/>
        <w:rPr>
          <w:rFonts w:ascii="Tahoma" w:hAnsi="Tahoma" w:cs="Tahoma"/>
        </w:rPr>
      </w:pPr>
    </w:p>
    <w:p w14:paraId="5DB04D6D" w14:textId="25D88D05" w:rsidR="00D05CAB" w:rsidRPr="00D05CAB" w:rsidRDefault="00807B4A" w:rsidP="00807B4A">
      <w:pPr>
        <w:tabs>
          <w:tab w:val="left" w:pos="5505"/>
        </w:tabs>
        <w:rPr>
          <w:rFonts w:ascii="Tahoma" w:hAnsi="Tahoma" w:cs="Tahoma"/>
        </w:rPr>
      </w:pPr>
      <w:r>
        <w:rPr>
          <w:rFonts w:ascii="Tahoma" w:hAnsi="Tahoma" w:cs="Tahoma"/>
        </w:rPr>
        <w:tab/>
      </w:r>
    </w:p>
    <w:p w14:paraId="4F9740B6" w14:textId="62F19F35" w:rsidR="00214E6F" w:rsidRPr="00D05CAB" w:rsidRDefault="00214E6F" w:rsidP="00214E6F">
      <w:pPr>
        <w:pStyle w:val="1"/>
        <w:jc w:val="center"/>
        <w:rPr>
          <w:rFonts w:ascii="Tahoma" w:eastAsia="Times New Roman" w:hAnsi="Tahoma" w:cs="Tahoma"/>
          <w:bCs w:val="0"/>
          <w:caps/>
          <w:color w:val="auto"/>
          <w:sz w:val="20"/>
          <w:szCs w:val="20"/>
        </w:rPr>
      </w:pPr>
      <w:r w:rsidRPr="00D05CAB">
        <w:rPr>
          <w:rFonts w:ascii="Tahoma" w:eastAsia="Times New Roman" w:hAnsi="Tahoma" w:cs="Tahoma"/>
          <w:bCs w:val="0"/>
          <w:caps/>
          <w:color w:val="auto"/>
          <w:sz w:val="20"/>
          <w:szCs w:val="20"/>
        </w:rPr>
        <w:t>Тарифы на депозитарные</w:t>
      </w:r>
      <w:r w:rsidR="00807B4A">
        <w:rPr>
          <w:rFonts w:ascii="Tahoma" w:eastAsia="Times New Roman" w:hAnsi="Tahoma" w:cs="Tahoma"/>
          <w:bCs w:val="0"/>
          <w:caps/>
          <w:color w:val="auto"/>
          <w:sz w:val="20"/>
          <w:szCs w:val="20"/>
        </w:rPr>
        <w:t xml:space="preserve"> </w:t>
      </w:r>
      <w:r w:rsidRPr="00D05CAB">
        <w:rPr>
          <w:rFonts w:ascii="Tahoma" w:eastAsia="Times New Roman" w:hAnsi="Tahoma" w:cs="Tahoma"/>
          <w:bCs w:val="0"/>
          <w:caps/>
          <w:color w:val="auto"/>
          <w:sz w:val="20"/>
          <w:szCs w:val="20"/>
        </w:rPr>
        <w:t>услуги</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ООО</w:t>
      </w:r>
      <w:r w:rsidR="006F7474" w:rsidRPr="00D05CAB">
        <w:rPr>
          <w:rFonts w:ascii="Tahoma" w:eastAsia="Times New Roman" w:hAnsi="Tahoma" w:cs="Tahoma"/>
          <w:bCs w:val="0"/>
          <w:caps/>
          <w:color w:val="auto"/>
          <w:sz w:val="20"/>
          <w:szCs w:val="20"/>
        </w:rPr>
        <w:t xml:space="preserve"> «</w:t>
      </w:r>
      <w:r w:rsidR="00D63573">
        <w:rPr>
          <w:rFonts w:ascii="Tahoma" w:eastAsia="Times New Roman" w:hAnsi="Tahoma" w:cs="Tahoma"/>
          <w:bCs w:val="0"/>
          <w:caps/>
          <w:color w:val="auto"/>
          <w:sz w:val="20"/>
          <w:szCs w:val="20"/>
        </w:rPr>
        <w:t>ЛИНКОР</w:t>
      </w:r>
      <w:r w:rsidR="006F7474" w:rsidRPr="00D05CAB">
        <w:rPr>
          <w:rFonts w:ascii="Tahoma" w:eastAsia="Times New Roman" w:hAnsi="Tahoma" w:cs="Tahoma"/>
          <w:bCs w:val="0"/>
          <w:caps/>
          <w:color w:val="auto"/>
          <w:sz w:val="20"/>
          <w:szCs w:val="20"/>
        </w:rPr>
        <w:t>»</w:t>
      </w:r>
    </w:p>
    <w:p w14:paraId="789A7874" w14:textId="77777777" w:rsidR="00214E6F" w:rsidRPr="00D05CAB" w:rsidRDefault="00214E6F" w:rsidP="00214E6F">
      <w:pPr>
        <w:rPr>
          <w:rFonts w:ascii="Tahoma" w:hAnsi="Tahoma" w:cs="Tahoma"/>
        </w:rPr>
      </w:pPr>
    </w:p>
    <w:p w14:paraId="590C0163" w14:textId="77777777" w:rsidR="00214E6F" w:rsidRPr="00D05CAB" w:rsidRDefault="00214E6F" w:rsidP="00214E6F">
      <w:pPr>
        <w:tabs>
          <w:tab w:val="left" w:pos="426"/>
        </w:tabs>
        <w:jc w:val="center"/>
        <w:rPr>
          <w:rFonts w:ascii="Tahoma" w:hAnsi="Tahoma" w:cs="Tahoma"/>
        </w:rPr>
      </w:pPr>
    </w:p>
    <w:p w14:paraId="3C9E078F"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депозитарных услуг (кроме услуг, связанных с осуществлением прав по ценным бумагам)</w:t>
      </w:r>
      <w:r w:rsidR="00D63573">
        <w:rPr>
          <w:rFonts w:ascii="Tahoma" w:hAnsi="Tahoma" w:cs="Tahoma"/>
        </w:rPr>
        <w:t>.</w:t>
      </w:r>
    </w:p>
    <w:tbl>
      <w:tblPr>
        <w:tblW w:w="8789" w:type="dxa"/>
        <w:tblInd w:w="557" w:type="dxa"/>
        <w:tblBorders>
          <w:top w:val="single" w:sz="8" w:space="0" w:color="0E3178"/>
          <w:left w:val="single" w:sz="8" w:space="0" w:color="0E3178"/>
          <w:bottom w:val="single" w:sz="8" w:space="0" w:color="0E3178"/>
          <w:right w:val="single" w:sz="8" w:space="0" w:color="0E3178"/>
          <w:insideH w:val="single" w:sz="8" w:space="0" w:color="0E3178"/>
          <w:insideV w:val="single" w:sz="8" w:space="0" w:color="0E3178"/>
        </w:tblBorders>
        <w:tblLook w:val="0620" w:firstRow="1" w:lastRow="0" w:firstColumn="0" w:lastColumn="0" w:noHBand="1" w:noVBand="1"/>
      </w:tblPr>
      <w:tblGrid>
        <w:gridCol w:w="685"/>
        <w:gridCol w:w="5265"/>
        <w:gridCol w:w="2839"/>
      </w:tblGrid>
      <w:tr w:rsidR="009E1DF6" w:rsidRPr="00D05CAB" w14:paraId="3548C10C" w14:textId="77777777" w:rsidTr="00153D09">
        <w:trPr>
          <w:trHeight w:val="545"/>
        </w:trPr>
        <w:tc>
          <w:tcPr>
            <w:tcW w:w="685" w:type="dxa"/>
            <w:shd w:val="clear" w:color="auto" w:fill="D9D9D9" w:themeFill="background1" w:themeFillShade="D9"/>
            <w:vAlign w:val="center"/>
          </w:tcPr>
          <w:p w14:paraId="1594D590" w14:textId="77777777" w:rsidR="009E1DF6" w:rsidRPr="00D05CAB" w:rsidRDefault="00984929" w:rsidP="00366598">
            <w:pPr>
              <w:widowControl/>
              <w:ind w:left="-120" w:firstLine="6"/>
              <w:jc w:val="center"/>
              <w:rPr>
                <w:rFonts w:ascii="Tahoma" w:hAnsi="Tahoma" w:cs="Tahoma"/>
                <w:b/>
                <w:bCs/>
                <w:color w:val="262626"/>
                <w:lang w:eastAsia="en-US"/>
              </w:rPr>
            </w:pPr>
            <w:r w:rsidRPr="00D05CAB">
              <w:rPr>
                <w:rFonts w:ascii="Tahoma" w:hAnsi="Tahoma" w:cs="Tahoma"/>
                <w:b/>
                <w:bCs/>
                <w:color w:val="262626"/>
                <w:lang w:eastAsia="en-US"/>
              </w:rPr>
              <w:t>№</w:t>
            </w:r>
            <w:r w:rsidR="00846194" w:rsidRPr="00D05CAB">
              <w:rPr>
                <w:rFonts w:ascii="Tahoma" w:hAnsi="Tahoma" w:cs="Tahoma"/>
                <w:b/>
                <w:bCs/>
                <w:color w:val="262626"/>
                <w:lang w:eastAsia="en-US"/>
              </w:rPr>
              <w:t xml:space="preserve"> </w:t>
            </w:r>
            <w:r w:rsidRPr="00D05CAB">
              <w:rPr>
                <w:rFonts w:ascii="Tahoma" w:hAnsi="Tahoma" w:cs="Tahoma"/>
                <w:b/>
                <w:bCs/>
                <w:color w:val="262626"/>
                <w:lang w:eastAsia="en-US"/>
              </w:rPr>
              <w:t>п/п</w:t>
            </w:r>
          </w:p>
        </w:tc>
        <w:tc>
          <w:tcPr>
            <w:tcW w:w="5265" w:type="dxa"/>
            <w:shd w:val="clear" w:color="auto" w:fill="D9D9D9" w:themeFill="background1" w:themeFillShade="D9"/>
            <w:vAlign w:val="center"/>
          </w:tcPr>
          <w:p w14:paraId="09D1BC46"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839" w:type="dxa"/>
            <w:shd w:val="clear" w:color="auto" w:fill="D9D9D9" w:themeFill="background1" w:themeFillShade="D9"/>
            <w:vAlign w:val="center"/>
          </w:tcPr>
          <w:p w14:paraId="4E307D6E"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14:paraId="2165C4CF" w14:textId="77777777" w:rsidTr="00153D09">
        <w:trPr>
          <w:trHeight w:val="60"/>
        </w:trPr>
        <w:tc>
          <w:tcPr>
            <w:tcW w:w="685" w:type="dxa"/>
          </w:tcPr>
          <w:p w14:paraId="4322CC44"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.1</w:t>
            </w:r>
          </w:p>
        </w:tc>
        <w:tc>
          <w:tcPr>
            <w:tcW w:w="5265" w:type="dxa"/>
          </w:tcPr>
          <w:p w14:paraId="29031D8D" w14:textId="77777777" w:rsidR="009E1DF6" w:rsidRPr="00D05CAB" w:rsidRDefault="009E1DF6" w:rsidP="00FA6D2B">
            <w:pPr>
              <w:rPr>
                <w:rFonts w:ascii="Tahoma" w:hAnsi="Tahoma" w:cs="Tahoma"/>
              </w:rPr>
            </w:pPr>
            <w:r w:rsidRPr="00D05CAB">
              <w:rPr>
                <w:rFonts w:ascii="Tahoma" w:hAnsi="Tahoma" w:cs="Tahoma"/>
              </w:rPr>
              <w:t>Хранение и учет ценных бумаг</w:t>
            </w:r>
          </w:p>
          <w:p w14:paraId="779183AF" w14:textId="77777777"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14:paraId="2475CC22" w14:textId="77777777" w:rsidR="009E1DF6" w:rsidRPr="00D05CAB" w:rsidRDefault="009E1DF6" w:rsidP="00FA6D2B">
            <w:pPr>
              <w:rPr>
                <w:rFonts w:ascii="Tahoma" w:hAnsi="Tahoma" w:cs="Tahoma"/>
              </w:rPr>
            </w:pPr>
            <w:r w:rsidRPr="00D05CAB">
              <w:rPr>
                <w:rFonts w:ascii="Tahoma" w:hAnsi="Tahoma" w:cs="Tahoma"/>
              </w:rPr>
              <w:t>Открытие первого торгового раздела в рамках торгового счета депо Депозитария в расчетном депозитарии,</w:t>
            </w:r>
          </w:p>
          <w:p w14:paraId="5624FC0F" w14:textId="08380EE0"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tc>
        <w:tc>
          <w:tcPr>
            <w:tcW w:w="2839" w:type="dxa"/>
          </w:tcPr>
          <w:p w14:paraId="63E69EC5" w14:textId="2E78029C" w:rsidR="009E1DF6" w:rsidRPr="00D05CAB" w:rsidRDefault="009E1DF6" w:rsidP="00FA7D9D">
            <w:pPr>
              <w:rPr>
                <w:rFonts w:ascii="Tahoma" w:hAnsi="Tahoma" w:cs="Tahoma"/>
                <w:vertAlign w:val="superscript"/>
              </w:rPr>
            </w:pPr>
            <w:r w:rsidRPr="00D05CAB">
              <w:rPr>
                <w:rFonts w:ascii="Tahoma" w:hAnsi="Tahoma" w:cs="Tahoma"/>
              </w:rPr>
              <w:t xml:space="preserve">0,078% годовых от стоимости учитываемых на счете депо ценных бумаг, но не менее </w:t>
            </w:r>
            <w:r w:rsidR="00FA7D9D">
              <w:rPr>
                <w:rFonts w:ascii="Tahoma" w:hAnsi="Tahoma" w:cs="Tahoma"/>
              </w:rPr>
              <w:t>6000</w:t>
            </w:r>
            <w:r w:rsidRPr="00D05CAB">
              <w:rPr>
                <w:rFonts w:ascii="Tahoma" w:hAnsi="Tahoma" w:cs="Tahoma"/>
              </w:rPr>
              <w:t xml:space="preserve"> руб. в месяц</w:t>
            </w:r>
            <w:r w:rsidRPr="00D05CAB">
              <w:rPr>
                <w:rStyle w:val="af5"/>
                <w:rFonts w:ascii="Tahoma" w:hAnsi="Tahoma" w:cs="Tahoma"/>
              </w:rPr>
              <w:footnoteReference w:id="1"/>
            </w:r>
          </w:p>
        </w:tc>
      </w:tr>
      <w:tr w:rsidR="009E1DF6" w:rsidRPr="00D05CAB" w14:paraId="42D095A7" w14:textId="77777777" w:rsidTr="00153D09">
        <w:trPr>
          <w:trHeight w:val="60"/>
        </w:trPr>
        <w:tc>
          <w:tcPr>
            <w:tcW w:w="685" w:type="dxa"/>
          </w:tcPr>
          <w:p w14:paraId="583BF97D" w14:textId="77777777" w:rsidR="009E1DF6" w:rsidRPr="00D05CAB" w:rsidRDefault="00D63573" w:rsidP="00366598">
            <w:pPr>
              <w:ind w:left="-108"/>
              <w:jc w:val="center"/>
              <w:rPr>
                <w:rFonts w:ascii="Tahoma" w:hAnsi="Tahoma" w:cs="Tahoma"/>
              </w:rPr>
            </w:pPr>
            <w:r>
              <w:rPr>
                <w:rFonts w:ascii="Tahoma" w:hAnsi="Tahoma" w:cs="Tahoma"/>
              </w:rPr>
              <w:t>1</w:t>
            </w:r>
            <w:r w:rsidR="009E1DF6" w:rsidRPr="00D05CAB">
              <w:rPr>
                <w:rFonts w:ascii="Tahoma" w:hAnsi="Tahoma" w:cs="Tahoma"/>
              </w:rPr>
              <w:t>.2</w:t>
            </w:r>
          </w:p>
        </w:tc>
        <w:tc>
          <w:tcPr>
            <w:tcW w:w="5265" w:type="dxa"/>
          </w:tcPr>
          <w:p w14:paraId="0FDF0468" w14:textId="77777777" w:rsidR="009E1DF6" w:rsidRPr="00D05CAB" w:rsidRDefault="009E1DF6" w:rsidP="00FA6D2B">
            <w:pPr>
              <w:rPr>
                <w:rFonts w:ascii="Tahoma" w:hAnsi="Tahoma" w:cs="Tahoma"/>
              </w:rPr>
            </w:pPr>
            <w:r w:rsidRPr="00D05CAB">
              <w:rPr>
                <w:rFonts w:ascii="Tahoma" w:hAnsi="Tahoma" w:cs="Tahoma"/>
              </w:rPr>
              <w:t>Открытие второго и последующих торговых разделов в рамках торгового счета депо Депозитария в расчетном депозитарии</w:t>
            </w:r>
          </w:p>
        </w:tc>
        <w:tc>
          <w:tcPr>
            <w:tcW w:w="2839" w:type="dxa"/>
          </w:tcPr>
          <w:p w14:paraId="79B8D502" w14:textId="77777777" w:rsidR="009E1DF6" w:rsidRPr="00D05CAB" w:rsidRDefault="009E1DF6" w:rsidP="00FA6D2B">
            <w:pPr>
              <w:rPr>
                <w:rFonts w:ascii="Tahoma" w:hAnsi="Tahoma" w:cs="Tahoma"/>
              </w:rPr>
            </w:pPr>
            <w:r w:rsidRPr="00D05CAB">
              <w:rPr>
                <w:rFonts w:ascii="Tahoma" w:hAnsi="Tahoma" w:cs="Tahoma"/>
              </w:rPr>
              <w:t>1 000 руб. за каждый торговый раздел</w:t>
            </w:r>
          </w:p>
        </w:tc>
      </w:tr>
      <w:tr w:rsidR="009E1DF6" w:rsidRPr="00D05CAB" w14:paraId="4728CCA7" w14:textId="77777777" w:rsidTr="00153D09">
        <w:trPr>
          <w:trHeight w:val="60"/>
        </w:trPr>
        <w:tc>
          <w:tcPr>
            <w:tcW w:w="685" w:type="dxa"/>
          </w:tcPr>
          <w:p w14:paraId="5709FF1C"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.3</w:t>
            </w:r>
          </w:p>
        </w:tc>
        <w:tc>
          <w:tcPr>
            <w:tcW w:w="5265" w:type="dxa"/>
          </w:tcPr>
          <w:p w14:paraId="358CAE0A" w14:textId="77777777"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(снятие ценных бумаг с учета и/или хранения) на торговый счет депо (с торгового счета депо) Депонента по результатам клиринга на основании отчета об операциях по торговому счету Депозитария, полученного от расчетного депозитария</w:t>
            </w:r>
          </w:p>
        </w:tc>
        <w:tc>
          <w:tcPr>
            <w:tcW w:w="2839" w:type="dxa"/>
          </w:tcPr>
          <w:p w14:paraId="70FD7971" w14:textId="77777777" w:rsidR="009E1DF6" w:rsidRPr="00D05CAB" w:rsidRDefault="009E1DF6" w:rsidP="00FA6D2B">
            <w:pPr>
              <w:rPr>
                <w:rFonts w:ascii="Tahoma" w:hAnsi="Tahoma" w:cs="Tahoma"/>
              </w:rPr>
            </w:pPr>
            <w:r w:rsidRPr="00D05CAB">
              <w:rPr>
                <w:rFonts w:ascii="Tahoma" w:hAnsi="Tahoma" w:cs="Tahoma"/>
              </w:rPr>
              <w:t>50 руб. за каждую позицию в отчете расчетного депозитария</w:t>
            </w:r>
          </w:p>
        </w:tc>
      </w:tr>
      <w:tr w:rsidR="009E1DF6" w:rsidRPr="00D05CAB" w14:paraId="4543E489" w14:textId="77777777" w:rsidTr="00153D09">
        <w:trPr>
          <w:trHeight w:val="60"/>
        </w:trPr>
        <w:tc>
          <w:tcPr>
            <w:tcW w:w="685" w:type="dxa"/>
          </w:tcPr>
          <w:p w14:paraId="033FEC07"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.4</w:t>
            </w:r>
          </w:p>
        </w:tc>
        <w:tc>
          <w:tcPr>
            <w:tcW w:w="5265" w:type="dxa"/>
          </w:tcPr>
          <w:p w14:paraId="464E755A" w14:textId="265E15C9"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за исключением случая, указанного в п.</w:t>
            </w:r>
            <w:r w:rsidR="003B44DE" w:rsidRPr="00F45A0F">
              <w:rPr>
                <w:rFonts w:ascii="Tahoma" w:hAnsi="Tahoma" w:cs="Tahoma"/>
              </w:rPr>
              <w:t>1</w:t>
            </w:r>
            <w:r w:rsidRPr="00D05CAB">
              <w:rPr>
                <w:rFonts w:ascii="Tahoma" w:hAnsi="Tahoma" w:cs="Tahoma"/>
              </w:rPr>
              <w:t>.3</w:t>
            </w:r>
          </w:p>
        </w:tc>
        <w:tc>
          <w:tcPr>
            <w:tcW w:w="2839" w:type="dxa"/>
          </w:tcPr>
          <w:p w14:paraId="4AF8C900" w14:textId="3E820E9A" w:rsidR="009E1DF6" w:rsidRPr="00D05CAB" w:rsidRDefault="00FA7D9D" w:rsidP="00FA7D9D">
            <w:pPr>
              <w:rPr>
                <w:rFonts w:ascii="Tahoma" w:hAnsi="Tahoma" w:cs="Tahoma"/>
              </w:rPr>
            </w:pPr>
            <w:r>
              <w:rPr>
                <w:rFonts w:ascii="Tahoma" w:hAnsi="Tahoma" w:cs="Tahoma"/>
              </w:rPr>
              <w:t>300</w:t>
            </w:r>
            <w:r w:rsidR="009E1DF6" w:rsidRPr="00D05CAB">
              <w:rPr>
                <w:rFonts w:ascii="Tahoma" w:hAnsi="Tahoma" w:cs="Tahoma"/>
              </w:rPr>
              <w:t xml:space="preserve"> руб. за позицию в поручении</w:t>
            </w:r>
          </w:p>
        </w:tc>
      </w:tr>
      <w:tr w:rsidR="009E1DF6" w:rsidRPr="00D05CAB" w14:paraId="6185AD44" w14:textId="77777777" w:rsidTr="00153D09">
        <w:trPr>
          <w:trHeight w:val="60"/>
        </w:trPr>
        <w:tc>
          <w:tcPr>
            <w:tcW w:w="685" w:type="dxa"/>
          </w:tcPr>
          <w:p w14:paraId="58A325F3"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5</w:t>
            </w:r>
          </w:p>
        </w:tc>
        <w:tc>
          <w:tcPr>
            <w:tcW w:w="5265" w:type="dxa"/>
          </w:tcPr>
          <w:p w14:paraId="05F3AE60" w14:textId="027676A5" w:rsidR="009E1DF6" w:rsidRPr="00D05CAB" w:rsidRDefault="009E1DF6" w:rsidP="00FA6D2B">
            <w:pPr>
              <w:rPr>
                <w:rFonts w:ascii="Tahoma" w:hAnsi="Tahoma" w:cs="Tahoma"/>
              </w:rPr>
            </w:pPr>
            <w:r w:rsidRPr="00D05CAB">
              <w:rPr>
                <w:rFonts w:ascii="Tahoma" w:hAnsi="Tahoma" w:cs="Tahoma"/>
              </w:rPr>
              <w:t>Снятие ценных бумаг с учета и/или хранения, за исключением случая, указанного в п.</w:t>
            </w:r>
            <w:r w:rsidR="003B44DE" w:rsidRPr="00F45A0F">
              <w:rPr>
                <w:rFonts w:ascii="Tahoma" w:hAnsi="Tahoma" w:cs="Tahoma"/>
              </w:rPr>
              <w:t>1</w:t>
            </w:r>
            <w:r w:rsidRPr="00D05CAB">
              <w:rPr>
                <w:rFonts w:ascii="Tahoma" w:hAnsi="Tahoma" w:cs="Tahoma"/>
              </w:rPr>
              <w:t xml:space="preserve">.3 </w:t>
            </w:r>
          </w:p>
        </w:tc>
        <w:tc>
          <w:tcPr>
            <w:tcW w:w="2839" w:type="dxa"/>
          </w:tcPr>
          <w:p w14:paraId="70755D35" w14:textId="1E770B5B" w:rsidR="009E1DF6" w:rsidRPr="00D05CAB" w:rsidRDefault="00FA7D9D" w:rsidP="00FA7D9D">
            <w:pPr>
              <w:rPr>
                <w:rFonts w:ascii="Tahoma" w:hAnsi="Tahoma" w:cs="Tahoma"/>
              </w:rPr>
            </w:pPr>
            <w:r>
              <w:rPr>
                <w:rFonts w:ascii="Tahoma" w:hAnsi="Tahoma" w:cs="Tahoma"/>
              </w:rPr>
              <w:t xml:space="preserve">500 </w:t>
            </w:r>
            <w:r w:rsidR="009E1DF6" w:rsidRPr="00D05CAB">
              <w:rPr>
                <w:rFonts w:ascii="Tahoma" w:hAnsi="Tahoma" w:cs="Tahoma"/>
              </w:rPr>
              <w:t>руб. за позицию в поручении</w:t>
            </w:r>
          </w:p>
        </w:tc>
      </w:tr>
      <w:tr w:rsidR="009E1DF6" w:rsidRPr="00D05CAB" w14:paraId="0BF05729" w14:textId="77777777" w:rsidTr="00153D09">
        <w:trPr>
          <w:trHeight w:val="60"/>
        </w:trPr>
        <w:tc>
          <w:tcPr>
            <w:tcW w:w="685" w:type="dxa"/>
          </w:tcPr>
          <w:p w14:paraId="60550303"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6</w:t>
            </w:r>
          </w:p>
        </w:tc>
        <w:tc>
          <w:tcPr>
            <w:tcW w:w="5265" w:type="dxa"/>
          </w:tcPr>
          <w:p w14:paraId="386166DA" w14:textId="77777777"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14:paraId="0BB38E18" w14:textId="77777777" w:rsidR="009E1DF6" w:rsidRPr="00D05CAB" w:rsidRDefault="009E1DF6" w:rsidP="00FA6D2B">
            <w:pPr>
              <w:rPr>
                <w:rFonts w:ascii="Tahoma" w:hAnsi="Tahoma" w:cs="Tahoma"/>
              </w:rPr>
            </w:pPr>
            <w:r w:rsidRPr="00D05CAB">
              <w:rPr>
                <w:rFonts w:ascii="Tahoma" w:hAnsi="Tahoma" w:cs="Tahoma"/>
              </w:rPr>
              <w:t xml:space="preserve">Обременение ценных бумаг, прекращение обременения ценных бумаг </w:t>
            </w:r>
          </w:p>
        </w:tc>
        <w:tc>
          <w:tcPr>
            <w:tcW w:w="2839" w:type="dxa"/>
          </w:tcPr>
          <w:p w14:paraId="025EDA7B" w14:textId="57FB5AA1" w:rsidR="009E1DF6" w:rsidRPr="00D05CAB" w:rsidRDefault="00FA7D9D" w:rsidP="00FA7D9D">
            <w:pPr>
              <w:rPr>
                <w:rFonts w:ascii="Tahoma" w:hAnsi="Tahoma" w:cs="Tahoma"/>
              </w:rPr>
            </w:pPr>
            <w:r>
              <w:rPr>
                <w:rFonts w:ascii="Tahoma" w:hAnsi="Tahoma" w:cs="Tahoma"/>
              </w:rPr>
              <w:t>2000</w:t>
            </w:r>
            <w:r w:rsidR="009E1DF6" w:rsidRPr="00D05CAB">
              <w:rPr>
                <w:rFonts w:ascii="Tahoma" w:hAnsi="Tahoma" w:cs="Tahoma"/>
              </w:rPr>
              <w:t xml:space="preserve"> руб. </w:t>
            </w:r>
          </w:p>
        </w:tc>
      </w:tr>
      <w:tr w:rsidR="009E1DF6" w:rsidRPr="00D05CAB" w14:paraId="3CCFB526" w14:textId="77777777" w:rsidTr="00153D09">
        <w:trPr>
          <w:trHeight w:val="60"/>
        </w:trPr>
        <w:tc>
          <w:tcPr>
            <w:tcW w:w="685" w:type="dxa"/>
          </w:tcPr>
          <w:p w14:paraId="1E4C7566"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7</w:t>
            </w:r>
          </w:p>
        </w:tc>
        <w:tc>
          <w:tcPr>
            <w:tcW w:w="5265" w:type="dxa"/>
          </w:tcPr>
          <w:p w14:paraId="764088AF" w14:textId="77777777" w:rsidR="009E1DF6" w:rsidRPr="00D05CAB" w:rsidRDefault="009E1DF6" w:rsidP="00FA6D2B">
            <w:pPr>
              <w:rPr>
                <w:rFonts w:ascii="Tahoma" w:hAnsi="Tahoma" w:cs="Tahoma"/>
              </w:rPr>
            </w:pPr>
            <w:r w:rsidRPr="00D05CAB">
              <w:rPr>
                <w:rFonts w:ascii="Tahoma" w:hAnsi="Tahoma" w:cs="Tahoma"/>
              </w:rPr>
              <w:t xml:space="preserve">Перевод ценных бумаг между счетами депо, открытыми в Депозитарии </w:t>
            </w:r>
          </w:p>
        </w:tc>
        <w:tc>
          <w:tcPr>
            <w:tcW w:w="2839" w:type="dxa"/>
          </w:tcPr>
          <w:p w14:paraId="24C88CD6" w14:textId="77777777" w:rsidR="009E1DF6" w:rsidRPr="00D05CAB" w:rsidRDefault="009E1DF6" w:rsidP="00FA6D2B">
            <w:pPr>
              <w:rPr>
                <w:rFonts w:ascii="Tahoma" w:hAnsi="Tahoma" w:cs="Tahoma"/>
              </w:rPr>
            </w:pPr>
            <w:r w:rsidRPr="00D05CAB">
              <w:rPr>
                <w:rFonts w:ascii="Tahoma" w:hAnsi="Tahoma" w:cs="Tahoma"/>
              </w:rPr>
              <w:t xml:space="preserve">100 руб., по каждому счету депо, участвующему в переводе </w:t>
            </w:r>
          </w:p>
        </w:tc>
      </w:tr>
      <w:tr w:rsidR="009E1DF6" w:rsidRPr="00D05CAB" w14:paraId="35D43D92" w14:textId="77777777" w:rsidTr="00153D09">
        <w:trPr>
          <w:trHeight w:val="60"/>
        </w:trPr>
        <w:tc>
          <w:tcPr>
            <w:tcW w:w="685" w:type="dxa"/>
          </w:tcPr>
          <w:p w14:paraId="0765509E"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8</w:t>
            </w:r>
          </w:p>
        </w:tc>
        <w:tc>
          <w:tcPr>
            <w:tcW w:w="5265" w:type="dxa"/>
          </w:tcPr>
          <w:p w14:paraId="54D280C2" w14:textId="77777777" w:rsidR="009E1DF6" w:rsidRPr="00D05CAB" w:rsidRDefault="009E1DF6" w:rsidP="00FA6D2B">
            <w:pPr>
              <w:rPr>
                <w:rFonts w:ascii="Tahoma" w:hAnsi="Tahoma" w:cs="Tahoma"/>
              </w:rPr>
            </w:pPr>
            <w:r w:rsidRPr="00D05CAB">
              <w:rPr>
                <w:rFonts w:ascii="Tahoma" w:hAnsi="Tahoma" w:cs="Tahoma"/>
              </w:rPr>
              <w:t>Перемещение ценных бумаг (изменение места хранения)</w:t>
            </w:r>
          </w:p>
        </w:tc>
        <w:tc>
          <w:tcPr>
            <w:tcW w:w="2839" w:type="dxa"/>
          </w:tcPr>
          <w:p w14:paraId="2AA277A2" w14:textId="77777777" w:rsidR="009E1DF6" w:rsidRPr="00D05CAB" w:rsidRDefault="009E1DF6" w:rsidP="00FA6D2B">
            <w:pPr>
              <w:rPr>
                <w:rFonts w:ascii="Tahoma" w:hAnsi="Tahoma" w:cs="Tahoma"/>
              </w:rPr>
            </w:pPr>
            <w:r w:rsidRPr="00D05CAB">
              <w:rPr>
                <w:rFonts w:ascii="Tahoma" w:hAnsi="Tahoma" w:cs="Tahoma"/>
              </w:rPr>
              <w:t xml:space="preserve">450 руб. </w:t>
            </w:r>
          </w:p>
        </w:tc>
      </w:tr>
      <w:tr w:rsidR="009E1DF6" w:rsidRPr="00D05CAB" w14:paraId="01A52EDF" w14:textId="77777777" w:rsidTr="00153D09">
        <w:trPr>
          <w:trHeight w:val="60"/>
        </w:trPr>
        <w:tc>
          <w:tcPr>
            <w:tcW w:w="685" w:type="dxa"/>
          </w:tcPr>
          <w:p w14:paraId="2A4ADAF7" w14:textId="77777777" w:rsidR="009E1DF6" w:rsidRPr="00D05CAB" w:rsidRDefault="00D63573" w:rsidP="00FA6D2B">
            <w:pPr>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9</w:t>
            </w:r>
          </w:p>
        </w:tc>
        <w:tc>
          <w:tcPr>
            <w:tcW w:w="5265" w:type="dxa"/>
          </w:tcPr>
          <w:p w14:paraId="14BEEFCE" w14:textId="77777777"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tc>
        <w:tc>
          <w:tcPr>
            <w:tcW w:w="2839" w:type="dxa"/>
          </w:tcPr>
          <w:p w14:paraId="7C025C8B" w14:textId="60D0B1A5" w:rsidR="009E1DF6" w:rsidRPr="00D05CAB" w:rsidRDefault="00FA7D9D" w:rsidP="00FA7D9D">
            <w:pPr>
              <w:rPr>
                <w:rFonts w:ascii="Tahoma" w:hAnsi="Tahoma" w:cs="Tahoma"/>
              </w:rPr>
            </w:pPr>
            <w:r>
              <w:rPr>
                <w:rFonts w:ascii="Tahoma" w:hAnsi="Tahoma" w:cs="Tahoma"/>
              </w:rPr>
              <w:t>300</w:t>
            </w:r>
            <w:r w:rsidR="009E1DF6" w:rsidRPr="00D05CAB">
              <w:rPr>
                <w:rFonts w:ascii="Tahoma" w:hAnsi="Tahoma" w:cs="Tahoma"/>
              </w:rPr>
              <w:t xml:space="preserve"> руб.</w:t>
            </w:r>
          </w:p>
        </w:tc>
      </w:tr>
      <w:tr w:rsidR="009E1DF6" w:rsidRPr="00D05CAB" w14:paraId="08A2086F" w14:textId="77777777" w:rsidTr="00153D09">
        <w:trPr>
          <w:trHeight w:val="60"/>
        </w:trPr>
        <w:tc>
          <w:tcPr>
            <w:tcW w:w="685" w:type="dxa"/>
          </w:tcPr>
          <w:p w14:paraId="3903C38E" w14:textId="77777777" w:rsidR="009E1DF6" w:rsidRPr="00D05CAB" w:rsidRDefault="00D63573" w:rsidP="00FA6D2B">
            <w:pPr>
              <w:ind w:left="-108" w:right="-108"/>
              <w:jc w:val="center"/>
              <w:rPr>
                <w:rFonts w:ascii="Tahoma" w:hAnsi="Tahoma" w:cs="Tahoma"/>
              </w:rPr>
            </w:pPr>
            <w:r>
              <w:rPr>
                <w:rFonts w:ascii="Tahoma" w:hAnsi="Tahoma" w:cs="Tahoma"/>
              </w:rPr>
              <w:t>1</w:t>
            </w:r>
            <w:r w:rsidR="009E1DF6" w:rsidRPr="00D05CAB">
              <w:rPr>
                <w:rFonts w:ascii="Tahoma" w:hAnsi="Tahoma" w:cs="Tahoma"/>
              </w:rPr>
              <w:t>.</w:t>
            </w:r>
            <w:r w:rsidR="009E1DF6" w:rsidRPr="00D05CAB">
              <w:rPr>
                <w:rFonts w:ascii="Tahoma" w:hAnsi="Tahoma" w:cs="Tahoma"/>
                <w:lang w:val="en-US"/>
              </w:rPr>
              <w:t>10</w:t>
            </w:r>
          </w:p>
        </w:tc>
        <w:tc>
          <w:tcPr>
            <w:tcW w:w="5265" w:type="dxa"/>
          </w:tcPr>
          <w:p w14:paraId="6071EE4F" w14:textId="77777777" w:rsidR="009E1DF6" w:rsidRPr="00D05CAB" w:rsidRDefault="009E1DF6" w:rsidP="00FA6D2B">
            <w:pPr>
              <w:rPr>
                <w:rFonts w:ascii="Tahoma" w:hAnsi="Tahoma" w:cs="Tahoma"/>
              </w:rPr>
            </w:pPr>
            <w:r w:rsidRPr="00D05CAB">
              <w:rPr>
                <w:rFonts w:ascii="Tahoma" w:hAnsi="Tahoma" w:cs="Tahoma"/>
              </w:rPr>
              <w:t>Выдача отчета об операциях с ценными бумагами по счету депо за период по запросу Депонента</w:t>
            </w:r>
          </w:p>
        </w:tc>
        <w:tc>
          <w:tcPr>
            <w:tcW w:w="2839" w:type="dxa"/>
          </w:tcPr>
          <w:p w14:paraId="0DD03C32" w14:textId="413BFB01" w:rsidR="009E1DF6" w:rsidRPr="00D05CAB" w:rsidRDefault="00FA7D9D" w:rsidP="00FA7D9D">
            <w:pPr>
              <w:rPr>
                <w:rFonts w:ascii="Tahoma" w:hAnsi="Tahoma" w:cs="Tahoma"/>
              </w:rPr>
            </w:pPr>
            <w:r>
              <w:rPr>
                <w:rFonts w:ascii="Tahoma" w:hAnsi="Tahoma" w:cs="Tahoma"/>
              </w:rPr>
              <w:t>600</w:t>
            </w:r>
            <w:r w:rsidR="009E1DF6" w:rsidRPr="00D05CAB">
              <w:rPr>
                <w:rFonts w:ascii="Tahoma" w:hAnsi="Tahoma" w:cs="Tahoma"/>
              </w:rPr>
              <w:t xml:space="preserve"> руб.</w:t>
            </w:r>
          </w:p>
        </w:tc>
      </w:tr>
      <w:tr w:rsidR="009E1DF6" w:rsidRPr="00D05CAB" w14:paraId="7A9A82B8" w14:textId="77777777" w:rsidTr="00153D09">
        <w:trPr>
          <w:trHeight w:val="60"/>
        </w:trPr>
        <w:tc>
          <w:tcPr>
            <w:tcW w:w="685" w:type="dxa"/>
          </w:tcPr>
          <w:p w14:paraId="4B2A3BA0" w14:textId="77777777" w:rsidR="009E1DF6" w:rsidRPr="00D05CAB" w:rsidRDefault="00D63573" w:rsidP="00FA6D2B">
            <w:pPr>
              <w:ind w:left="-108" w:right="-108"/>
              <w:jc w:val="center"/>
              <w:rPr>
                <w:rFonts w:ascii="Tahoma" w:hAnsi="Tahoma" w:cs="Tahoma"/>
              </w:rPr>
            </w:pPr>
            <w:r>
              <w:rPr>
                <w:rFonts w:ascii="Tahoma" w:hAnsi="Tahoma" w:cs="Tahoma"/>
              </w:rPr>
              <w:lastRenderedPageBreak/>
              <w:t>1</w:t>
            </w:r>
            <w:r w:rsidR="009E1DF6" w:rsidRPr="00D05CAB">
              <w:rPr>
                <w:rFonts w:ascii="Tahoma" w:hAnsi="Tahoma" w:cs="Tahoma"/>
              </w:rPr>
              <w:t>.11</w:t>
            </w:r>
          </w:p>
        </w:tc>
        <w:tc>
          <w:tcPr>
            <w:tcW w:w="5265" w:type="dxa"/>
          </w:tcPr>
          <w:p w14:paraId="2E3E56E5" w14:textId="77777777"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tc>
        <w:tc>
          <w:tcPr>
            <w:tcW w:w="2839" w:type="dxa"/>
          </w:tcPr>
          <w:p w14:paraId="28986D01" w14:textId="35193D11" w:rsidR="009E1DF6" w:rsidRPr="00D05CAB" w:rsidRDefault="00FA7D9D" w:rsidP="00FA7D9D">
            <w:pPr>
              <w:rPr>
                <w:rFonts w:ascii="Tahoma" w:hAnsi="Tahoma" w:cs="Tahoma"/>
              </w:rPr>
            </w:pPr>
            <w:r>
              <w:rPr>
                <w:rFonts w:ascii="Tahoma" w:hAnsi="Tahoma" w:cs="Tahoma"/>
              </w:rPr>
              <w:t>300</w:t>
            </w:r>
            <w:r w:rsidR="009E1DF6" w:rsidRPr="00D05CAB">
              <w:rPr>
                <w:rFonts w:ascii="Tahoma" w:hAnsi="Tahoma" w:cs="Tahoma"/>
              </w:rPr>
              <w:t xml:space="preserve"> руб.</w:t>
            </w:r>
          </w:p>
        </w:tc>
      </w:tr>
    </w:tbl>
    <w:p w14:paraId="1495D85D" w14:textId="77777777" w:rsidR="00214E6F" w:rsidRPr="00D05CAB" w:rsidRDefault="00214E6F" w:rsidP="00214E6F">
      <w:pPr>
        <w:ind w:left="709"/>
        <w:jc w:val="both"/>
        <w:rPr>
          <w:rFonts w:ascii="Tahoma" w:hAnsi="Tahoma" w:cs="Tahoma"/>
        </w:rPr>
      </w:pPr>
    </w:p>
    <w:p w14:paraId="539A23A7"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связанных с осуществлением прав по ценным бумагам:</w:t>
      </w:r>
    </w:p>
    <w:tbl>
      <w:tblPr>
        <w:tblW w:w="8789" w:type="dxa"/>
        <w:tblInd w:w="557" w:type="dxa"/>
        <w:tblBorders>
          <w:top w:val="single" w:sz="8" w:space="0" w:color="0E3178"/>
          <w:left w:val="single" w:sz="8" w:space="0" w:color="0E3178"/>
          <w:bottom w:val="single" w:sz="8" w:space="0" w:color="0E3178"/>
          <w:right w:val="single" w:sz="8" w:space="0" w:color="0E3178"/>
          <w:insideH w:val="single" w:sz="8" w:space="0" w:color="0E3178"/>
          <w:insideV w:val="single" w:sz="8" w:space="0" w:color="0E3178"/>
        </w:tblBorders>
        <w:tblLook w:val="0620" w:firstRow="1" w:lastRow="0" w:firstColumn="0" w:lastColumn="0" w:noHBand="1" w:noVBand="1"/>
      </w:tblPr>
      <w:tblGrid>
        <w:gridCol w:w="685"/>
        <w:gridCol w:w="5265"/>
        <w:gridCol w:w="2839"/>
      </w:tblGrid>
      <w:tr w:rsidR="009E1DF6" w:rsidRPr="00D05CAB" w14:paraId="1A5ABEBA" w14:textId="77777777" w:rsidTr="00153D09">
        <w:trPr>
          <w:trHeight w:val="545"/>
        </w:trPr>
        <w:tc>
          <w:tcPr>
            <w:tcW w:w="685" w:type="dxa"/>
            <w:shd w:val="clear" w:color="auto" w:fill="D9D9D9" w:themeFill="background1" w:themeFillShade="D9"/>
            <w:vAlign w:val="center"/>
          </w:tcPr>
          <w:p w14:paraId="5B569C87" w14:textId="77777777" w:rsidR="009E1DF6" w:rsidRPr="00D05CAB" w:rsidRDefault="00366598" w:rsidP="00366598">
            <w:pPr>
              <w:widowControl/>
              <w:ind w:left="-116"/>
              <w:jc w:val="center"/>
              <w:rPr>
                <w:rFonts w:ascii="Tahoma" w:hAnsi="Tahoma" w:cs="Tahoma"/>
                <w:b/>
                <w:bCs/>
                <w:color w:val="262626"/>
                <w:lang w:eastAsia="en-US"/>
              </w:rPr>
            </w:pPr>
            <w:r w:rsidRPr="00D05CAB">
              <w:rPr>
                <w:rFonts w:ascii="Tahoma" w:hAnsi="Tahoma" w:cs="Tahoma"/>
                <w:b/>
                <w:bCs/>
                <w:color w:val="262626"/>
                <w:lang w:eastAsia="en-US"/>
              </w:rPr>
              <w:t>№ п/п</w:t>
            </w:r>
          </w:p>
        </w:tc>
        <w:tc>
          <w:tcPr>
            <w:tcW w:w="5265" w:type="dxa"/>
            <w:shd w:val="clear" w:color="auto" w:fill="D9D9D9" w:themeFill="background1" w:themeFillShade="D9"/>
            <w:vAlign w:val="center"/>
          </w:tcPr>
          <w:p w14:paraId="24BFBF3C"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839" w:type="dxa"/>
            <w:shd w:val="clear" w:color="auto" w:fill="D9D9D9" w:themeFill="background1" w:themeFillShade="D9"/>
            <w:vAlign w:val="center"/>
          </w:tcPr>
          <w:p w14:paraId="6B18329E"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14:paraId="4C324B32" w14:textId="77777777" w:rsidTr="00153D09">
        <w:trPr>
          <w:trHeight w:val="60"/>
        </w:trPr>
        <w:tc>
          <w:tcPr>
            <w:tcW w:w="685" w:type="dxa"/>
          </w:tcPr>
          <w:p w14:paraId="2653ABA1" w14:textId="77777777" w:rsidR="009E1DF6" w:rsidRPr="00D05CAB" w:rsidRDefault="00D63573" w:rsidP="00FA6D2B">
            <w:pPr>
              <w:jc w:val="center"/>
              <w:rPr>
                <w:rFonts w:ascii="Tahoma" w:hAnsi="Tahoma" w:cs="Tahoma"/>
              </w:rPr>
            </w:pPr>
            <w:r>
              <w:rPr>
                <w:rFonts w:ascii="Tahoma" w:hAnsi="Tahoma" w:cs="Tahoma"/>
              </w:rPr>
              <w:t>2</w:t>
            </w:r>
            <w:r w:rsidR="009E1DF6" w:rsidRPr="00D05CAB">
              <w:rPr>
                <w:rFonts w:ascii="Tahoma" w:hAnsi="Tahoma" w:cs="Tahoma"/>
              </w:rPr>
              <w:t>.1</w:t>
            </w:r>
          </w:p>
        </w:tc>
        <w:tc>
          <w:tcPr>
            <w:tcW w:w="5265" w:type="dxa"/>
          </w:tcPr>
          <w:p w14:paraId="72EC12F5" w14:textId="77777777" w:rsidR="009E1DF6" w:rsidRPr="00D05CAB" w:rsidRDefault="009E1DF6" w:rsidP="00FA6D2B">
            <w:pPr>
              <w:rPr>
                <w:rFonts w:ascii="Tahoma" w:hAnsi="Tahoma" w:cs="Tahoma"/>
              </w:rPr>
            </w:pPr>
            <w:r w:rsidRPr="00D05CAB">
              <w:rPr>
                <w:rFonts w:ascii="Tahoma" w:hAnsi="Tahoma" w:cs="Tahoma"/>
              </w:rPr>
              <w:t xml:space="preserve">Участие в собрании владельцев ценных бумаг </w:t>
            </w:r>
          </w:p>
        </w:tc>
        <w:tc>
          <w:tcPr>
            <w:tcW w:w="2839" w:type="dxa"/>
          </w:tcPr>
          <w:p w14:paraId="65A0282E" w14:textId="244877A4" w:rsidR="009E1DF6" w:rsidRPr="00D05CAB" w:rsidRDefault="00FA7D9D" w:rsidP="00FA7D9D">
            <w:pPr>
              <w:pStyle w:val="3"/>
              <w:spacing w:before="0"/>
              <w:rPr>
                <w:rFonts w:ascii="Tahoma" w:eastAsia="Times New Roman" w:hAnsi="Tahoma" w:cs="Tahoma"/>
                <w:b w:val="0"/>
                <w:bCs w:val="0"/>
                <w:color w:val="auto"/>
              </w:rPr>
            </w:pPr>
            <w:r>
              <w:rPr>
                <w:rFonts w:ascii="Tahoma" w:eastAsia="Times New Roman" w:hAnsi="Tahoma" w:cs="Tahoma"/>
                <w:b w:val="0"/>
                <w:bCs w:val="0"/>
                <w:color w:val="auto"/>
              </w:rPr>
              <w:t>1000</w:t>
            </w:r>
            <w:r w:rsidR="009E1DF6" w:rsidRPr="00D05CAB">
              <w:rPr>
                <w:rFonts w:ascii="Tahoma" w:eastAsia="Times New Roman" w:hAnsi="Tahoma" w:cs="Tahoma"/>
                <w:b w:val="0"/>
                <w:bCs w:val="0"/>
                <w:color w:val="auto"/>
              </w:rPr>
              <w:t xml:space="preserve"> руб. за каждую инструкцию</w:t>
            </w:r>
          </w:p>
        </w:tc>
      </w:tr>
      <w:tr w:rsidR="009E1DF6" w:rsidRPr="00D05CAB" w14:paraId="7AD6CBB0" w14:textId="77777777" w:rsidTr="00153D09">
        <w:trPr>
          <w:trHeight w:val="60"/>
        </w:trPr>
        <w:tc>
          <w:tcPr>
            <w:tcW w:w="685" w:type="dxa"/>
          </w:tcPr>
          <w:p w14:paraId="407B98E0" w14:textId="77777777" w:rsidR="009E1DF6" w:rsidRPr="00D05CAB" w:rsidRDefault="00D63573" w:rsidP="00FA6D2B">
            <w:pPr>
              <w:jc w:val="center"/>
              <w:rPr>
                <w:rFonts w:ascii="Tahoma" w:hAnsi="Tahoma" w:cs="Tahoma"/>
              </w:rPr>
            </w:pPr>
            <w:r>
              <w:rPr>
                <w:rFonts w:ascii="Tahoma" w:hAnsi="Tahoma" w:cs="Tahoma"/>
              </w:rPr>
              <w:t>2</w:t>
            </w:r>
            <w:r w:rsidR="009E1DF6" w:rsidRPr="00D05CAB">
              <w:rPr>
                <w:rFonts w:ascii="Tahoma" w:hAnsi="Tahoma" w:cs="Tahoma"/>
              </w:rPr>
              <w:t>.2</w:t>
            </w:r>
          </w:p>
        </w:tc>
        <w:tc>
          <w:tcPr>
            <w:tcW w:w="5265" w:type="dxa"/>
          </w:tcPr>
          <w:p w14:paraId="60A4AFCD" w14:textId="77777777" w:rsidR="009E1DF6" w:rsidRPr="00D05CAB" w:rsidRDefault="009E1DF6" w:rsidP="00FA6D2B">
            <w:pPr>
              <w:rPr>
                <w:rFonts w:ascii="Tahoma" w:hAnsi="Tahoma" w:cs="Tahoma"/>
              </w:rPr>
            </w:pPr>
            <w:r w:rsidRPr="00D05CAB">
              <w:rPr>
                <w:rFonts w:ascii="Tahoma" w:hAnsi="Tahoma" w:cs="Tahoma"/>
              </w:rPr>
              <w:t xml:space="preserve">Участие в корпоративных действиях, требующих волеизъявления Депонента  </w:t>
            </w:r>
          </w:p>
        </w:tc>
        <w:tc>
          <w:tcPr>
            <w:tcW w:w="2839" w:type="dxa"/>
          </w:tcPr>
          <w:p w14:paraId="28F930ED" w14:textId="77777777"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1000 руб. за каждую инструкцию</w:t>
            </w:r>
            <w:r w:rsidRPr="00D05CAB">
              <w:rPr>
                <w:rStyle w:val="af5"/>
                <w:rFonts w:ascii="Tahoma" w:hAnsi="Tahoma" w:cs="Tahoma"/>
                <w:b w:val="0"/>
                <w:color w:val="auto"/>
              </w:rPr>
              <w:footnoteReference w:id="2"/>
            </w:r>
          </w:p>
        </w:tc>
      </w:tr>
      <w:tr w:rsidR="009E1DF6" w:rsidRPr="00D05CAB" w14:paraId="45B4C291" w14:textId="77777777" w:rsidTr="00153D09">
        <w:trPr>
          <w:trHeight w:val="60"/>
        </w:trPr>
        <w:tc>
          <w:tcPr>
            <w:tcW w:w="685" w:type="dxa"/>
          </w:tcPr>
          <w:p w14:paraId="1D5105BE" w14:textId="77777777" w:rsidR="009E1DF6" w:rsidRPr="00D05CAB" w:rsidRDefault="00D63573" w:rsidP="00FA6D2B">
            <w:pPr>
              <w:jc w:val="center"/>
              <w:rPr>
                <w:rFonts w:ascii="Tahoma" w:hAnsi="Tahoma" w:cs="Tahoma"/>
              </w:rPr>
            </w:pPr>
            <w:r>
              <w:rPr>
                <w:rFonts w:ascii="Tahoma" w:hAnsi="Tahoma" w:cs="Tahoma"/>
              </w:rPr>
              <w:t>2</w:t>
            </w:r>
            <w:r w:rsidR="009E1DF6" w:rsidRPr="00D05CAB">
              <w:rPr>
                <w:rFonts w:ascii="Tahoma" w:hAnsi="Tahoma" w:cs="Tahoma"/>
              </w:rPr>
              <w:t>.3</w:t>
            </w:r>
          </w:p>
        </w:tc>
        <w:tc>
          <w:tcPr>
            <w:tcW w:w="5265" w:type="dxa"/>
          </w:tcPr>
          <w:p w14:paraId="48560597" w14:textId="77777777" w:rsidR="009E1DF6" w:rsidRPr="00D05CAB" w:rsidRDefault="009E1DF6" w:rsidP="00FA6D2B">
            <w:pPr>
              <w:rPr>
                <w:rFonts w:ascii="Tahoma" w:hAnsi="Tahoma" w:cs="Tahoma"/>
              </w:rPr>
            </w:pPr>
            <w:r w:rsidRPr="00D05CAB">
              <w:rPr>
                <w:rFonts w:ascii="Tahoma" w:hAnsi="Tahoma" w:cs="Tahoma"/>
              </w:rPr>
              <w:t xml:space="preserve">Получение доходов по ценным бумагам и иных причитающихся Депоненту выплат в рублях </w:t>
            </w:r>
          </w:p>
        </w:tc>
        <w:tc>
          <w:tcPr>
            <w:tcW w:w="2839" w:type="dxa"/>
          </w:tcPr>
          <w:p w14:paraId="27215B35" w14:textId="0B22867A" w:rsidR="009E1DF6" w:rsidRPr="00D05CAB" w:rsidRDefault="00FA7D9D" w:rsidP="00FA7D9D">
            <w:pPr>
              <w:pStyle w:val="3"/>
              <w:spacing w:before="0"/>
              <w:rPr>
                <w:rFonts w:ascii="Tahoma" w:eastAsia="Times New Roman" w:hAnsi="Tahoma" w:cs="Tahoma"/>
                <w:b w:val="0"/>
                <w:bCs w:val="0"/>
                <w:color w:val="auto"/>
              </w:rPr>
            </w:pPr>
            <w:r>
              <w:rPr>
                <w:rFonts w:ascii="Tahoma" w:eastAsia="Times New Roman" w:hAnsi="Tahoma" w:cs="Tahoma"/>
                <w:b w:val="0"/>
                <w:bCs w:val="0"/>
                <w:color w:val="auto"/>
              </w:rPr>
              <w:t>100</w:t>
            </w:r>
            <w:r w:rsidR="009E1DF6" w:rsidRPr="00D05CAB">
              <w:rPr>
                <w:rFonts w:ascii="Tahoma" w:eastAsia="Times New Roman" w:hAnsi="Tahoma" w:cs="Tahoma"/>
                <w:b w:val="0"/>
                <w:bCs w:val="0"/>
                <w:color w:val="auto"/>
              </w:rPr>
              <w:t xml:space="preserve"> руб. за каждое платежное поручение, направленное Депоненту</w:t>
            </w:r>
            <w:r w:rsidR="009E1DF6" w:rsidRPr="00D05CAB">
              <w:rPr>
                <w:rStyle w:val="af5"/>
                <w:rFonts w:ascii="Tahoma" w:hAnsi="Tahoma" w:cs="Tahoma"/>
                <w:b w:val="0"/>
                <w:color w:val="auto"/>
              </w:rPr>
              <w:footnoteReference w:id="3"/>
            </w:r>
          </w:p>
        </w:tc>
      </w:tr>
      <w:tr w:rsidR="009E1DF6" w:rsidRPr="00D05CAB" w14:paraId="3A71DA6D" w14:textId="77777777" w:rsidTr="00153D09">
        <w:trPr>
          <w:trHeight w:val="60"/>
        </w:trPr>
        <w:tc>
          <w:tcPr>
            <w:tcW w:w="685" w:type="dxa"/>
          </w:tcPr>
          <w:p w14:paraId="42990500" w14:textId="77777777" w:rsidR="009E1DF6" w:rsidRPr="00D05CAB" w:rsidRDefault="00D63573" w:rsidP="00FA6D2B">
            <w:pPr>
              <w:jc w:val="center"/>
              <w:rPr>
                <w:rFonts w:ascii="Tahoma" w:hAnsi="Tahoma" w:cs="Tahoma"/>
              </w:rPr>
            </w:pPr>
            <w:r>
              <w:rPr>
                <w:rFonts w:ascii="Tahoma" w:hAnsi="Tahoma" w:cs="Tahoma"/>
              </w:rPr>
              <w:t>2</w:t>
            </w:r>
            <w:r w:rsidR="009E1DF6" w:rsidRPr="00D05CAB">
              <w:rPr>
                <w:rFonts w:ascii="Tahoma" w:hAnsi="Tahoma" w:cs="Tahoma"/>
              </w:rPr>
              <w:t>.4</w:t>
            </w:r>
          </w:p>
        </w:tc>
        <w:tc>
          <w:tcPr>
            <w:tcW w:w="5265" w:type="dxa"/>
          </w:tcPr>
          <w:p w14:paraId="0361A00E" w14:textId="77777777" w:rsidR="009E1DF6" w:rsidRPr="00D05CAB" w:rsidRDefault="009E1DF6" w:rsidP="00FA6D2B">
            <w:pPr>
              <w:rPr>
                <w:rFonts w:ascii="Tahoma" w:hAnsi="Tahoma" w:cs="Tahoma"/>
              </w:rPr>
            </w:pPr>
            <w:r w:rsidRPr="00D05CAB">
              <w:rPr>
                <w:rFonts w:ascii="Tahoma" w:hAnsi="Tahoma" w:cs="Tahoma"/>
              </w:rPr>
              <w:t>Получение доходов по ценным бумагам и иных причитающихся Депоненту выплат в иностранной валюте</w:t>
            </w:r>
          </w:p>
        </w:tc>
        <w:tc>
          <w:tcPr>
            <w:tcW w:w="2839" w:type="dxa"/>
          </w:tcPr>
          <w:p w14:paraId="5345DE66" w14:textId="469D676A" w:rsidR="009E1DF6" w:rsidRPr="00D05CAB" w:rsidRDefault="00FA7D9D" w:rsidP="00FA7D9D">
            <w:pPr>
              <w:pStyle w:val="3"/>
              <w:spacing w:before="0"/>
              <w:rPr>
                <w:rFonts w:ascii="Tahoma" w:eastAsia="Times New Roman" w:hAnsi="Tahoma" w:cs="Tahoma"/>
                <w:b w:val="0"/>
                <w:bCs w:val="0"/>
                <w:color w:val="auto"/>
              </w:rPr>
            </w:pPr>
            <w:r>
              <w:rPr>
                <w:rFonts w:ascii="Tahoma" w:eastAsia="Times New Roman" w:hAnsi="Tahoma" w:cs="Tahoma"/>
                <w:b w:val="0"/>
                <w:bCs w:val="0"/>
                <w:color w:val="auto"/>
              </w:rPr>
              <w:t xml:space="preserve">200 </w:t>
            </w:r>
            <w:r w:rsidR="009E1DF6" w:rsidRPr="00D05CAB">
              <w:rPr>
                <w:rFonts w:ascii="Tahoma" w:eastAsia="Times New Roman" w:hAnsi="Tahoma" w:cs="Tahoma"/>
                <w:b w:val="0"/>
                <w:bCs w:val="0"/>
                <w:color w:val="auto"/>
              </w:rPr>
              <w:t>руб. за каждое платежное поручение, направленное Депоненту</w:t>
            </w:r>
            <w:r w:rsidR="009E1DF6" w:rsidRPr="00D05CAB">
              <w:rPr>
                <w:rStyle w:val="af5"/>
                <w:rFonts w:ascii="Tahoma" w:hAnsi="Tahoma" w:cs="Tahoma"/>
                <w:b w:val="0"/>
                <w:color w:val="auto"/>
              </w:rPr>
              <w:t>4</w:t>
            </w:r>
          </w:p>
        </w:tc>
      </w:tr>
    </w:tbl>
    <w:p w14:paraId="3CD56C9A" w14:textId="77777777" w:rsidR="009E1DF6" w:rsidRPr="00D05CAB" w:rsidRDefault="009E1DF6" w:rsidP="00214E6F">
      <w:pPr>
        <w:ind w:left="720"/>
        <w:jc w:val="both"/>
        <w:rPr>
          <w:rFonts w:ascii="Tahoma" w:hAnsi="Tahoma" w:cs="Tahoma"/>
        </w:rPr>
      </w:pPr>
    </w:p>
    <w:p w14:paraId="62B42417" w14:textId="1F9531D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сторонних депозитариев, привлеченных Депозитарием к исполнению обязанностей по учету прав на ценные бумаги</w:t>
      </w:r>
      <w:r w:rsidR="00D671C9" w:rsidRPr="00D05CAB">
        <w:rPr>
          <w:rFonts w:ascii="Tahoma" w:hAnsi="Tahoma" w:cs="Tahoma"/>
        </w:rPr>
        <w:t xml:space="preserve"> и иные финансовые инструменты</w:t>
      </w:r>
      <w:r w:rsidRPr="00D05CAB">
        <w:rPr>
          <w:rFonts w:ascii="Tahoma" w:hAnsi="Tahoma" w:cs="Tahoma"/>
        </w:rPr>
        <w:t>, а также стоимость услуг держателей реестров владельцев именных ценных бумаг по проведению операций по переходу прав на ценные бума</w:t>
      </w:r>
      <w:bookmarkStart w:id="0" w:name="_GoBack"/>
      <w:bookmarkEnd w:id="0"/>
      <w:r w:rsidRPr="00D05CAB">
        <w:rPr>
          <w:rFonts w:ascii="Tahoma" w:hAnsi="Tahoma" w:cs="Tahoma"/>
        </w:rPr>
        <w:t>ги определяется в соответствии с тарифами таких сторонних депозитариев/держателей реестров и оплачивается дополнительно. В случае если оплата услуг вышеуказанных организаций осуществляется в иностранной валюте, стоимость вышеперечисленных услуг увеличивается на стоимость услуг кредитных организаций, через которые осуществляется платеж и (или) конвертация валюты, а также на сумму иных расходов Депозитария, связанных с конвертацией валюты, и оплачивается дополнительно.</w:t>
      </w:r>
    </w:p>
    <w:p w14:paraId="33D95F85"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кредитных организаций, через которые осуществляется перечисление денежных средств (включая услуги по хранению (размещению) денежных средств на банковских счетах в иностранной валюте, по переводу денежных средств в иностранной валюте, по осуществлению функций агента валютного контроля</w:t>
      </w:r>
      <w:r w:rsidRPr="00D05CAB">
        <w:rPr>
          <w:rFonts w:ascii="Tahoma" w:hAnsi="Tahoma" w:cs="Tahoma"/>
          <w:vertAlign w:val="superscript"/>
        </w:rPr>
        <w:footnoteReference w:id="4"/>
      </w:r>
      <w:r w:rsidRPr="00D05CAB">
        <w:rPr>
          <w:rFonts w:ascii="Tahoma" w:hAnsi="Tahoma" w:cs="Tahoma"/>
        </w:rPr>
        <w:t>, по конвертации валюты и др.), определяется в соответствии с тарифами кредитной организации, оказывающей данные услуги, и оплачивается дополнительно.</w:t>
      </w:r>
    </w:p>
    <w:p w14:paraId="35325100"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 xml:space="preserve">В случае привлечения для исполнения поручения клиента трансфер-агентов или организаций, оказывающих услуги связи (экспресс-почта, телекоммуникационные услуги и т.п.) стоимость услуг привлеченных организаций определяется в соответствии с их тарифами и оплачивается дополнительно. </w:t>
      </w:r>
    </w:p>
    <w:p w14:paraId="665A451D"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lastRenderedPageBreak/>
        <w:t>Стоимость услуг, указанных в п</w:t>
      </w:r>
      <w:r w:rsidR="000A6D15">
        <w:rPr>
          <w:rFonts w:ascii="Tahoma" w:hAnsi="Tahoma" w:cs="Tahoma"/>
        </w:rPr>
        <w:t>унктах</w:t>
      </w:r>
      <w:r w:rsidRPr="00D05CAB">
        <w:rPr>
          <w:rFonts w:ascii="Tahoma" w:hAnsi="Tahoma" w:cs="Tahoma"/>
        </w:rPr>
        <w:t xml:space="preserve"> 1-</w:t>
      </w:r>
      <w:r w:rsidR="00D63573">
        <w:rPr>
          <w:rFonts w:ascii="Tahoma" w:hAnsi="Tahoma" w:cs="Tahoma"/>
        </w:rPr>
        <w:t>2</w:t>
      </w:r>
      <w:r w:rsidR="00D63573" w:rsidRPr="00D05CAB">
        <w:rPr>
          <w:rFonts w:ascii="Tahoma" w:hAnsi="Tahoma" w:cs="Tahoma"/>
        </w:rPr>
        <w:t xml:space="preserve"> </w:t>
      </w:r>
      <w:r w:rsidRPr="00D05CAB">
        <w:rPr>
          <w:rFonts w:ascii="Tahoma" w:hAnsi="Tahoma" w:cs="Tahoma"/>
        </w:rPr>
        <w:t>Тарифов, определяется ежемесячно по каждому счету депо. При определении стоимости услуг за календарный месяц учитываются операции, произведенные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301A5AC1"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информационных операций по закрытым счетам депо определяется в соответствии с п</w:t>
      </w:r>
      <w:r w:rsidR="000A6D15">
        <w:rPr>
          <w:rFonts w:ascii="Tahoma" w:hAnsi="Tahoma" w:cs="Tahoma"/>
        </w:rPr>
        <w:t>унктами</w:t>
      </w:r>
      <w:r w:rsidRPr="00D05CAB">
        <w:rPr>
          <w:rFonts w:ascii="Tahoma" w:hAnsi="Tahoma" w:cs="Tahoma"/>
        </w:rPr>
        <w:t xml:space="preserve"> </w:t>
      </w:r>
      <w:r w:rsidR="00D63573">
        <w:rPr>
          <w:rFonts w:ascii="Tahoma" w:hAnsi="Tahoma" w:cs="Tahoma"/>
        </w:rPr>
        <w:t>1</w:t>
      </w:r>
      <w:r w:rsidRPr="00D05CAB">
        <w:rPr>
          <w:rFonts w:ascii="Tahoma" w:hAnsi="Tahoma" w:cs="Tahoma"/>
        </w:rPr>
        <w:t xml:space="preserve">.9 - </w:t>
      </w:r>
      <w:r w:rsidR="00D63573">
        <w:rPr>
          <w:rFonts w:ascii="Tahoma" w:hAnsi="Tahoma" w:cs="Tahoma"/>
        </w:rPr>
        <w:t>1</w:t>
      </w:r>
      <w:r w:rsidRPr="00D05CAB">
        <w:rPr>
          <w:rFonts w:ascii="Tahoma" w:hAnsi="Tahoma" w:cs="Tahoma"/>
        </w:rPr>
        <w:t>.10 Тарифов. Депозитарий вправе требовать предварительной оплаты услуг, указанных в настоящем пункте.</w:t>
      </w:r>
    </w:p>
    <w:p w14:paraId="7E186332"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не применяются при определении вознаграждения за хранение и учет закладных.</w:t>
      </w:r>
    </w:p>
    <w:p w14:paraId="08A26124"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По соглашению между Депозитарием и Депонентом может устанавливаться отличный от установленного настоящими Тарифами порядок определения вознаграждения. Стоимость услуг, не указанных в настоящих Тарифах, определяется соглашением сторон.</w:t>
      </w:r>
    </w:p>
    <w:p w14:paraId="58754BD0"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bookmarkStart w:id="1" w:name="OLE_LINK1"/>
      <w:bookmarkStart w:id="2" w:name="OLE_LINK2"/>
      <w:r w:rsidRPr="00D05CAB">
        <w:rPr>
          <w:rFonts w:ascii="Tahoma" w:hAnsi="Tahoma" w:cs="Tahoma"/>
        </w:rPr>
        <w:t>Стоимость учитываемых на счете депо ценных бумаг (</w:t>
      </w:r>
      <w:proofErr w:type="spellStart"/>
      <w:r w:rsidRPr="00D05CAB">
        <w:rPr>
          <w:rFonts w:ascii="Tahoma" w:hAnsi="Tahoma" w:cs="Tahoma"/>
        </w:rPr>
        <w:t>СтП</w:t>
      </w:r>
      <w:proofErr w:type="spellEnd"/>
      <w:r w:rsidRPr="00D05CAB">
        <w:rPr>
          <w:rFonts w:ascii="Tahoma" w:hAnsi="Tahoma" w:cs="Tahoma"/>
        </w:rPr>
        <w:t>), определяется по следующей методике:</w:t>
      </w:r>
    </w:p>
    <w:bookmarkEnd w:id="1"/>
    <w:bookmarkEnd w:id="2"/>
    <w:p w14:paraId="26EA4B12" w14:textId="77777777" w:rsidR="00214E6F" w:rsidRPr="00D05CAB" w:rsidRDefault="00214E6F" w:rsidP="00214E6F">
      <w:pPr>
        <w:ind w:firstLine="708"/>
        <w:jc w:val="center"/>
        <w:outlineLvl w:val="0"/>
        <w:rPr>
          <w:rFonts w:ascii="Tahoma" w:hAnsi="Tahoma" w:cs="Tahoma"/>
          <w:b/>
        </w:rPr>
      </w:pPr>
      <w:proofErr w:type="spellStart"/>
      <w:r w:rsidRPr="00D05CAB">
        <w:rPr>
          <w:rFonts w:ascii="Tahoma" w:hAnsi="Tahoma" w:cs="Tahoma"/>
          <w:b/>
        </w:rPr>
        <w:t>СтП</w:t>
      </w:r>
      <w:proofErr w:type="spellEnd"/>
      <w:r w:rsidRPr="00D05CAB">
        <w:rPr>
          <w:rFonts w:ascii="Tahoma" w:hAnsi="Tahoma" w:cs="Tahoma"/>
          <w:b/>
        </w:rPr>
        <w:t xml:space="preserve">= </w:t>
      </w:r>
      <w:r w:rsidRPr="00D05CAB">
        <w:rPr>
          <w:rFonts w:ascii="Tahoma" w:hAnsi="Tahoma" w:cs="Tahoma"/>
          <w:i/>
          <w:iCs/>
          <w:position w:val="-32"/>
        </w:rPr>
        <w:object w:dxaOrig="1660" w:dyaOrig="780" w14:anchorId="7F22E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4.25pt" o:ole="">
            <v:imagedata r:id="rId9" o:title=""/>
          </v:shape>
          <o:OLEObject Type="Embed" ProgID="Equation.3" ShapeID="_x0000_i1025" DrawAspect="Content" ObjectID="_1845186920" r:id="rId10"/>
        </w:object>
      </w:r>
      <w:r w:rsidRPr="00D05CAB">
        <w:rPr>
          <w:rFonts w:ascii="Tahoma" w:hAnsi="Tahoma" w:cs="Tahoma"/>
        </w:rPr>
        <w:t>, где</w:t>
      </w:r>
    </w:p>
    <w:p w14:paraId="054EC995" w14:textId="77777777" w:rsidR="00214E6F" w:rsidRPr="00D05CAB" w:rsidRDefault="00214E6F" w:rsidP="00DE79C9">
      <w:pPr>
        <w:spacing w:line="360" w:lineRule="auto"/>
        <w:ind w:left="567"/>
        <w:jc w:val="both"/>
        <w:rPr>
          <w:rFonts w:ascii="Tahoma" w:hAnsi="Tahoma" w:cs="Tahoma"/>
        </w:rPr>
      </w:pPr>
      <w:r w:rsidRPr="00D05CAB">
        <w:rPr>
          <w:rFonts w:ascii="Tahoma" w:hAnsi="Tahoma" w:cs="Tahoma"/>
          <w:b/>
        </w:rPr>
        <w:t xml:space="preserve">СрВзО - </w:t>
      </w:r>
      <w:r w:rsidRPr="00D05CAB">
        <w:rPr>
          <w:rFonts w:ascii="Tahoma" w:hAnsi="Tahoma" w:cs="Tahoma"/>
        </w:rPr>
        <w:t>средневзвешенный остаток ценных бумаг (для эмиссионных ценных бумаг – средневзвешенный остаток ценных бумаг уникального выпуска) в штуках, рассчитанный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 по следующему алгоритму:</w:t>
      </w:r>
    </w:p>
    <w:p w14:paraId="3A981D04" w14:textId="77777777" w:rsidR="00214E6F" w:rsidRPr="00D05CAB" w:rsidRDefault="00214E6F" w:rsidP="00214E6F">
      <w:pPr>
        <w:ind w:left="709"/>
        <w:jc w:val="center"/>
        <w:outlineLvl w:val="0"/>
        <w:rPr>
          <w:rFonts w:ascii="Tahoma" w:hAnsi="Tahoma" w:cs="Tahoma"/>
        </w:rPr>
      </w:pPr>
      <w:proofErr w:type="spellStart"/>
      <w:r w:rsidRPr="00D05CAB">
        <w:rPr>
          <w:rFonts w:ascii="Tahoma" w:hAnsi="Tahoma" w:cs="Tahoma"/>
          <w:b/>
        </w:rPr>
        <w:t>СрВзО</w:t>
      </w:r>
      <w:proofErr w:type="spellEnd"/>
      <w:r w:rsidRPr="00D05CAB">
        <w:rPr>
          <w:rFonts w:ascii="Tahoma" w:hAnsi="Tahoma" w:cs="Tahoma"/>
          <w:b/>
        </w:rPr>
        <w:t>=</w:t>
      </w:r>
      <w:r w:rsidRPr="00D05CAB">
        <w:rPr>
          <w:rFonts w:ascii="Tahoma" w:hAnsi="Tahoma" w:cs="Tahoma"/>
          <w:i/>
          <w:iCs/>
          <w:position w:val="-38"/>
        </w:rPr>
        <w:object w:dxaOrig="1520" w:dyaOrig="840" w14:anchorId="78C5BB9B">
          <v:shape id="_x0000_i1026" type="#_x0000_t75" style="width:87pt;height:48pt" o:ole="">
            <v:imagedata r:id="rId11" o:title=""/>
          </v:shape>
          <o:OLEObject Type="Embed" ProgID="Equation.3" ShapeID="_x0000_i1026" DrawAspect="Content" ObjectID="_1845186921" r:id="rId12"/>
        </w:object>
      </w:r>
      <w:r w:rsidRPr="00D05CAB">
        <w:rPr>
          <w:rFonts w:ascii="Tahoma" w:hAnsi="Tahoma" w:cs="Tahoma"/>
        </w:rPr>
        <w:t>,</w:t>
      </w:r>
      <w:r w:rsidRPr="00D05CAB">
        <w:rPr>
          <w:rFonts w:ascii="Tahoma" w:hAnsi="Tahoma" w:cs="Tahoma"/>
          <w:b/>
        </w:rPr>
        <w:t xml:space="preserve"> </w:t>
      </w:r>
      <w:r w:rsidRPr="00D05CAB">
        <w:rPr>
          <w:rFonts w:ascii="Tahoma" w:hAnsi="Tahoma" w:cs="Tahoma"/>
        </w:rPr>
        <w:t>где</w:t>
      </w:r>
    </w:p>
    <w:p w14:paraId="789DEBA8" w14:textId="77777777" w:rsidR="00214E6F" w:rsidRPr="00D05CAB" w:rsidRDefault="00214E6F" w:rsidP="00DE79C9">
      <w:pPr>
        <w:spacing w:line="360" w:lineRule="auto"/>
        <w:ind w:left="567"/>
        <w:jc w:val="both"/>
        <w:rPr>
          <w:rFonts w:ascii="Tahoma" w:hAnsi="Tahoma" w:cs="Tahoma"/>
        </w:rPr>
      </w:pPr>
      <w:r w:rsidRPr="00D05CAB">
        <w:rPr>
          <w:rFonts w:ascii="Tahoma" w:hAnsi="Tahoma" w:cs="Tahoma"/>
          <w:b/>
        </w:rPr>
        <w:t xml:space="preserve">ОВцб - </w:t>
      </w:r>
      <w:r w:rsidRPr="00D05CAB">
        <w:rPr>
          <w:rFonts w:ascii="Tahoma" w:hAnsi="Tahoma" w:cs="Tahoma"/>
        </w:rPr>
        <w:t>количество ценных бумаг (для эмиссионных ценных бумаг – количество ценных бумаг уникального выпуска),</w:t>
      </w:r>
      <w:r w:rsidR="005C10BD" w:rsidRPr="00D05CAB">
        <w:rPr>
          <w:rFonts w:ascii="Tahoma" w:hAnsi="Tahoma" w:cs="Tahoma"/>
        </w:rPr>
        <w:t xml:space="preserve"> </w:t>
      </w:r>
      <w:r w:rsidRPr="00D05CAB">
        <w:rPr>
          <w:rFonts w:ascii="Tahoma" w:hAnsi="Tahoma" w:cs="Tahoma"/>
        </w:rPr>
        <w:t xml:space="preserve">учитываемых на счете депо на конец операционного дня в день </w:t>
      </w:r>
      <w:r w:rsidRPr="00D05CAB">
        <w:rPr>
          <w:rFonts w:ascii="Tahoma" w:hAnsi="Tahoma" w:cs="Tahoma"/>
          <w:b/>
        </w:rPr>
        <w:t>j</w:t>
      </w:r>
      <w:r w:rsidRPr="00D05CAB">
        <w:rPr>
          <w:rFonts w:ascii="Tahoma" w:hAnsi="Tahoma" w:cs="Tahoma"/>
        </w:rPr>
        <w:t>.</w:t>
      </w:r>
    </w:p>
    <w:p w14:paraId="5D6677A0" w14:textId="77777777" w:rsidR="00214E6F" w:rsidRPr="00D05CAB" w:rsidRDefault="00214E6F" w:rsidP="00DE79C9">
      <w:pPr>
        <w:spacing w:line="360" w:lineRule="auto"/>
        <w:ind w:left="567"/>
        <w:jc w:val="both"/>
        <w:rPr>
          <w:rFonts w:ascii="Tahoma" w:hAnsi="Tahoma" w:cs="Tahoma"/>
        </w:rPr>
      </w:pPr>
      <w:r w:rsidRPr="00D05CAB">
        <w:rPr>
          <w:rFonts w:ascii="Tahoma" w:hAnsi="Tahoma" w:cs="Tahoma"/>
          <w:b/>
        </w:rPr>
        <w:t xml:space="preserve">N - </w:t>
      </w:r>
      <w:r w:rsidRPr="00D05CAB">
        <w:rPr>
          <w:rFonts w:ascii="Tahoma" w:hAnsi="Tahoma" w:cs="Tahoma"/>
        </w:rPr>
        <w:t>количество календарных дней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3F082F09" w14:textId="77777777" w:rsidR="00214E6F" w:rsidRPr="00D05CAB" w:rsidRDefault="00214E6F" w:rsidP="00DE79C9">
      <w:pPr>
        <w:spacing w:line="360" w:lineRule="auto"/>
        <w:ind w:left="567"/>
        <w:jc w:val="both"/>
        <w:rPr>
          <w:rFonts w:ascii="Tahoma" w:hAnsi="Tahoma" w:cs="Tahoma"/>
        </w:rPr>
      </w:pPr>
      <w:r w:rsidRPr="00D05CAB">
        <w:rPr>
          <w:rFonts w:ascii="Tahoma" w:hAnsi="Tahoma" w:cs="Tahoma"/>
          <w:b/>
        </w:rPr>
        <w:t xml:space="preserve">V – </w:t>
      </w:r>
      <w:r w:rsidRPr="00D05CAB">
        <w:rPr>
          <w:rFonts w:ascii="Tahoma" w:hAnsi="Tahoma" w:cs="Tahoma"/>
        </w:rPr>
        <w:t>количество ценных бумаг (для эмиссионных ценных бумаг - количество уникальных выпусков), учитываемых на счете депо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3801340D" w14:textId="39A5C0E6" w:rsidR="00214E6F" w:rsidRPr="00D05CAB" w:rsidRDefault="00214E6F" w:rsidP="00DE79C9">
      <w:pPr>
        <w:spacing w:line="360" w:lineRule="auto"/>
        <w:ind w:left="567"/>
        <w:jc w:val="both"/>
        <w:rPr>
          <w:rFonts w:ascii="Tahoma" w:hAnsi="Tahoma" w:cs="Tahoma"/>
        </w:rPr>
      </w:pPr>
      <w:r w:rsidRPr="00D05CAB">
        <w:rPr>
          <w:rFonts w:ascii="Tahoma" w:hAnsi="Tahoma" w:cs="Tahoma"/>
          <w:b/>
        </w:rPr>
        <w:t xml:space="preserve">К – </w:t>
      </w:r>
      <w:r w:rsidRPr="00D05CAB">
        <w:rPr>
          <w:rFonts w:ascii="Tahoma" w:hAnsi="Tahoma" w:cs="Tahoma"/>
        </w:rPr>
        <w:t>стоимость ценной бумаги -</w:t>
      </w:r>
      <w:r w:rsidRPr="00D05CAB">
        <w:rPr>
          <w:rFonts w:ascii="Tahoma" w:hAnsi="Tahoma" w:cs="Tahoma"/>
          <w:b/>
        </w:rPr>
        <w:t xml:space="preserve"> </w:t>
      </w:r>
      <w:r w:rsidRPr="00D05CAB">
        <w:rPr>
          <w:rFonts w:ascii="Tahoma" w:hAnsi="Tahoma" w:cs="Tahoma"/>
        </w:rPr>
        <w:t>последняя Рыночная цена</w:t>
      </w:r>
      <w:r w:rsidR="00577228">
        <w:rPr>
          <w:rFonts w:ascii="Tahoma" w:hAnsi="Tahoma" w:cs="Tahoma"/>
        </w:rPr>
        <w:t xml:space="preserve"> </w:t>
      </w:r>
      <w:r w:rsidRPr="00D05CAB">
        <w:rPr>
          <w:rFonts w:ascii="Tahoma" w:hAnsi="Tahoma" w:cs="Tahoma"/>
        </w:rPr>
        <w:t>(3)</w:t>
      </w:r>
      <w:r w:rsidR="005C10BD" w:rsidRPr="00D05CAB">
        <w:rPr>
          <w:rFonts w:ascii="Tahoma" w:hAnsi="Tahoma" w:cs="Tahoma"/>
        </w:rPr>
        <w:t xml:space="preserve"> </w:t>
      </w:r>
      <w:r w:rsidRPr="00D05CAB">
        <w:rPr>
          <w:rFonts w:ascii="Tahoma" w:hAnsi="Tahoma" w:cs="Tahoma"/>
        </w:rPr>
        <w:t xml:space="preserve">(рассчитанная </w:t>
      </w:r>
      <w:r w:rsidR="00AE1852" w:rsidRPr="00D05CAB">
        <w:rPr>
          <w:rFonts w:ascii="Tahoma" w:hAnsi="Tahoma" w:cs="Tahoma"/>
        </w:rPr>
        <w:t>П</w:t>
      </w:r>
      <w:r w:rsidRPr="00D05CAB">
        <w:rPr>
          <w:rFonts w:ascii="Tahoma" w:hAnsi="Tahoma" w:cs="Tahoma"/>
        </w:rPr>
        <w:t xml:space="preserve">АО </w:t>
      </w:r>
      <w:r w:rsidR="00AE1852" w:rsidRPr="00D05CAB">
        <w:rPr>
          <w:rFonts w:ascii="Tahoma" w:hAnsi="Tahoma" w:cs="Tahoma"/>
        </w:rPr>
        <w:t>Московская биржа</w:t>
      </w:r>
      <w:r w:rsidR="00EB3626" w:rsidRPr="00D05CAB">
        <w:rPr>
          <w:rFonts w:ascii="Tahoma" w:hAnsi="Tahoma" w:cs="Tahoma"/>
        </w:rPr>
        <w:t xml:space="preserve">, </w:t>
      </w:r>
      <w:r w:rsidR="00532DC2" w:rsidRPr="00D05CAB">
        <w:rPr>
          <w:rFonts w:ascii="Tahoma" w:hAnsi="Tahoma" w:cs="Tahoma"/>
        </w:rPr>
        <w:t xml:space="preserve">или </w:t>
      </w:r>
      <w:r w:rsidR="00EB3626" w:rsidRPr="00D05CAB">
        <w:rPr>
          <w:rFonts w:ascii="Tahoma" w:hAnsi="Tahoma" w:cs="Tahoma"/>
        </w:rPr>
        <w:t>ПАО «СПБ Биржа»</w:t>
      </w:r>
      <w:r w:rsidR="00532DC2" w:rsidRPr="00D05CAB">
        <w:rPr>
          <w:rFonts w:ascii="Tahoma" w:hAnsi="Tahoma" w:cs="Tahoma"/>
        </w:rPr>
        <w:t>,</w:t>
      </w:r>
      <w:r w:rsidR="00EB3626" w:rsidRPr="00D05CAB">
        <w:rPr>
          <w:rFonts w:ascii="Tahoma" w:hAnsi="Tahoma" w:cs="Tahoma"/>
        </w:rPr>
        <w:t xml:space="preserve"> и</w:t>
      </w:r>
      <w:r w:rsidR="00532DC2" w:rsidRPr="00D05CAB">
        <w:rPr>
          <w:rFonts w:ascii="Tahoma" w:hAnsi="Tahoma" w:cs="Tahoma"/>
        </w:rPr>
        <w:t>ли</w:t>
      </w:r>
      <w:r w:rsidR="00EB3626" w:rsidRPr="00D05CAB">
        <w:rPr>
          <w:rFonts w:ascii="Tahoma" w:hAnsi="Tahoma" w:cs="Tahoma"/>
        </w:rPr>
        <w:t xml:space="preserve"> АО</w:t>
      </w:r>
      <w:r w:rsidR="001B3D1C" w:rsidRPr="00D05CAB">
        <w:rPr>
          <w:rFonts w:ascii="Tahoma" w:hAnsi="Tahoma" w:cs="Tahoma"/>
        </w:rPr>
        <w:t xml:space="preserve"> «</w:t>
      </w:r>
      <w:r w:rsidR="00EB3626" w:rsidRPr="00D05CAB">
        <w:rPr>
          <w:rFonts w:ascii="Tahoma" w:hAnsi="Tahoma" w:cs="Tahoma"/>
        </w:rPr>
        <w:t>Санкт-Петербургская Валютная Биржа</w:t>
      </w:r>
      <w:r w:rsidR="001B3D1C" w:rsidRPr="00D05CAB">
        <w:rPr>
          <w:rFonts w:ascii="Tahoma" w:hAnsi="Tahoma" w:cs="Tahoma"/>
        </w:rPr>
        <w:t>»</w:t>
      </w:r>
      <w:r w:rsidRPr="00D05CAB">
        <w:rPr>
          <w:rFonts w:ascii="Tahoma" w:hAnsi="Tahoma" w:cs="Tahoma"/>
        </w:rPr>
        <w:t xml:space="preserve">, в соответствии с </w:t>
      </w:r>
      <w:r w:rsidR="00FA7D9D">
        <w:rPr>
          <w:rFonts w:ascii="Tahoma" w:hAnsi="Tahoma" w:cs="Tahoma"/>
        </w:rPr>
        <w:t>Указанием Банка России от 21.11.2025 № 7246-У «О порядке определения рыночной цены ценных бумаг, расчетной цены ценных бумаг, а также порядке определения предельной границы колебаний рыночной цены в целях главы 23 Налогового кодекса Российской Федерации»</w:t>
      </w:r>
      <w:r w:rsidRPr="00D05CAB">
        <w:rPr>
          <w:rFonts w:ascii="Tahoma" w:hAnsi="Tahoma" w:cs="Tahoma"/>
        </w:rPr>
        <w:t>) за предшествующий 91 календарный день, включая 24 число календарного месяца, за который производится расчет</w:t>
      </w:r>
      <w:r w:rsidR="00245906">
        <w:rPr>
          <w:rFonts w:ascii="Tahoma" w:hAnsi="Tahoma" w:cs="Tahoma"/>
        </w:rPr>
        <w:t xml:space="preserve">. </w:t>
      </w:r>
      <w:r w:rsidR="00245906" w:rsidRPr="00245906">
        <w:rPr>
          <w:rFonts w:ascii="Tahoma" w:hAnsi="Tahoma" w:cs="Tahoma"/>
        </w:rPr>
        <w:t xml:space="preserve">В случае если рыночная цена рассчитана </w:t>
      </w:r>
      <w:r w:rsidR="00245906" w:rsidRPr="00245906">
        <w:rPr>
          <w:rFonts w:ascii="Tahoma" w:eastAsiaTheme="minorHAnsi" w:hAnsi="Tahoma" w:cs="Tahoma"/>
          <w:lang w:eastAsia="en-US"/>
        </w:rPr>
        <w:t xml:space="preserve">более чем одним организатором торговли на рынке ценных бумаг, то </w:t>
      </w:r>
      <w:r w:rsidR="00245906" w:rsidRPr="00245906">
        <w:rPr>
          <w:rFonts w:ascii="Tahoma" w:hAnsi="Tahoma" w:cs="Tahoma"/>
        </w:rPr>
        <w:t>в расчетах используется наибольшее из значений рыночной цены,</w:t>
      </w:r>
      <w:r w:rsidRPr="00D05CAB">
        <w:rPr>
          <w:rFonts w:ascii="Tahoma" w:hAnsi="Tahoma" w:cs="Tahoma"/>
        </w:rPr>
        <w:t xml:space="preserve"> при этом:</w:t>
      </w:r>
    </w:p>
    <w:p w14:paraId="2136B103" w14:textId="77777777" w:rsidR="00214E6F" w:rsidRPr="00D05CAB" w:rsidRDefault="00214E6F" w:rsidP="00DE79C9">
      <w:pPr>
        <w:widowControl/>
        <w:numPr>
          <w:ilvl w:val="0"/>
          <w:numId w:val="15"/>
        </w:numPr>
        <w:spacing w:line="360" w:lineRule="auto"/>
        <w:ind w:left="993" w:hanging="426"/>
        <w:jc w:val="both"/>
        <w:rPr>
          <w:rFonts w:ascii="Tahoma" w:hAnsi="Tahoma" w:cs="Tahoma"/>
        </w:rPr>
      </w:pPr>
      <w:r w:rsidRPr="00D05CAB">
        <w:rPr>
          <w:rFonts w:ascii="Tahoma" w:hAnsi="Tahoma" w:cs="Tahoma"/>
        </w:rPr>
        <w:t>В случае отсутствия Рыночной цены</w:t>
      </w:r>
      <w:r w:rsidR="00577228">
        <w:rPr>
          <w:rFonts w:ascii="Tahoma" w:hAnsi="Tahoma" w:cs="Tahoma"/>
        </w:rPr>
        <w:t xml:space="preserve"> </w:t>
      </w:r>
      <w:r w:rsidRPr="00D05CAB">
        <w:rPr>
          <w:rFonts w:ascii="Tahoma" w:hAnsi="Tahoma" w:cs="Tahoma"/>
        </w:rPr>
        <w:t>(3) – номинальная стоимость ценной бумаги;</w:t>
      </w:r>
    </w:p>
    <w:p w14:paraId="4A319535" w14:textId="77777777" w:rsidR="00577228" w:rsidRDefault="00214E6F" w:rsidP="00DE79C9">
      <w:pPr>
        <w:widowControl/>
        <w:numPr>
          <w:ilvl w:val="0"/>
          <w:numId w:val="15"/>
        </w:numPr>
        <w:spacing w:line="360" w:lineRule="auto"/>
        <w:ind w:left="993" w:hanging="426"/>
        <w:jc w:val="both"/>
        <w:rPr>
          <w:rFonts w:ascii="Tahoma" w:hAnsi="Tahoma" w:cs="Tahoma"/>
        </w:rPr>
      </w:pPr>
      <w:r w:rsidRPr="00D05CAB">
        <w:rPr>
          <w:rFonts w:ascii="Tahoma" w:hAnsi="Tahoma" w:cs="Tahoma"/>
        </w:rPr>
        <w:t>В случае отсутствия номинальной стоимости - стоимость, указанная на бланке (сертификате) ценной бумаги. Для инвестиционных паев паевых инвестиционных фондов, созданных в соответствии с законодательством РФ, - расчетная стоимость инвестиционного пая, определяемая управляющей компанией на последний день календарного месяца, предшествующего месяцу</w:t>
      </w:r>
      <w:r w:rsidR="00577228">
        <w:rPr>
          <w:rFonts w:ascii="Tahoma" w:hAnsi="Tahoma" w:cs="Tahoma"/>
        </w:rPr>
        <w:t>,</w:t>
      </w:r>
      <w:r w:rsidRPr="00D05CAB">
        <w:rPr>
          <w:rFonts w:ascii="Tahoma" w:hAnsi="Tahoma" w:cs="Tahoma"/>
        </w:rPr>
        <w:t xml:space="preserve"> за который производится расчет;</w:t>
      </w:r>
    </w:p>
    <w:p w14:paraId="6B35F947" w14:textId="77777777" w:rsidR="00577228" w:rsidRPr="00577228" w:rsidRDefault="00A57C88" w:rsidP="00DE79C9">
      <w:pPr>
        <w:widowControl/>
        <w:numPr>
          <w:ilvl w:val="0"/>
          <w:numId w:val="15"/>
        </w:numPr>
        <w:spacing w:line="360" w:lineRule="auto"/>
        <w:ind w:left="993" w:hanging="426"/>
        <w:jc w:val="both"/>
        <w:rPr>
          <w:rFonts w:ascii="Tahoma" w:hAnsi="Tahoma" w:cs="Tahoma"/>
        </w:rPr>
      </w:pPr>
      <w:r w:rsidRPr="00577228">
        <w:rPr>
          <w:rFonts w:ascii="Tahoma" w:hAnsi="Tahoma" w:cs="Tahoma"/>
        </w:rPr>
        <w:t xml:space="preserve">Для иностранных ценных бумаг – </w:t>
      </w:r>
      <w:r w:rsidR="00CB4948" w:rsidRPr="00577228">
        <w:rPr>
          <w:rFonts w:ascii="Tahoma" w:hAnsi="Tahoma" w:cs="Tahoma"/>
        </w:rPr>
        <w:t xml:space="preserve">приоритетом в качестве оценки стоимости ценной бумаги перед последней Рыночной ценой (3) является </w:t>
      </w:r>
      <w:r w:rsidRPr="00577228">
        <w:rPr>
          <w:rFonts w:ascii="Tahoma" w:hAnsi="Tahoma" w:cs="Tahoma"/>
        </w:rPr>
        <w:t>официальная цена закрытия торгового дня на иностранной фондовой бирже. В случае наличия у ценных бумаг нескольких цен закрытия (в случае, если финансовый инструмент торгуется на различных иностранных площадках), в расчетах используется наибольшее из значений цен закрытия торгового дня на иностранных фондовых биржах. В случае отсутствия официальных цен закрытия на иностранных торговых биржах</w:t>
      </w:r>
      <w:r w:rsidR="00CB4948" w:rsidRPr="00577228">
        <w:rPr>
          <w:rFonts w:ascii="Tahoma" w:hAnsi="Tahoma" w:cs="Tahoma"/>
        </w:rPr>
        <w:t xml:space="preserve"> и Рыночной цены (3)</w:t>
      </w:r>
      <w:r w:rsidRPr="00577228">
        <w:rPr>
          <w:rFonts w:ascii="Tahoma" w:hAnsi="Tahoma" w:cs="Tahoma"/>
        </w:rPr>
        <w:t xml:space="preserve"> - номинальная стоимость ценной бумаги. В случае отсутствия номинальной стоимости - стоимость ценной бумаги, предоставленная вышестоящим депозитарием</w:t>
      </w:r>
      <w:r w:rsidR="00214E6F" w:rsidRPr="00D05CAB">
        <w:rPr>
          <w:rFonts w:ascii="Tahoma" w:hAnsi="Tahoma" w:cs="Tahoma"/>
          <w:vertAlign w:val="superscript"/>
        </w:rPr>
        <w:footnoteReference w:id="5"/>
      </w:r>
      <w:r w:rsidR="00214E6F" w:rsidRPr="00577228">
        <w:rPr>
          <w:rFonts w:ascii="Tahoma" w:hAnsi="Tahoma" w:cs="Tahoma"/>
        </w:rPr>
        <w:t>.</w:t>
      </w:r>
    </w:p>
    <w:p w14:paraId="10A90FA2" w14:textId="77777777" w:rsidR="00214E6F" w:rsidRPr="00D05CAB" w:rsidRDefault="00366598" w:rsidP="00DE79C9">
      <w:pPr>
        <w:widowControl/>
        <w:spacing w:line="360" w:lineRule="auto"/>
        <w:ind w:left="993" w:hanging="426"/>
        <w:jc w:val="both"/>
        <w:rPr>
          <w:rFonts w:ascii="Tahoma" w:hAnsi="Tahoma" w:cs="Tahoma"/>
          <w:color w:val="943634"/>
        </w:rPr>
      </w:pPr>
      <w:r>
        <w:rPr>
          <w:rFonts w:ascii="Tahoma" w:hAnsi="Tahoma" w:cs="Tahoma"/>
        </w:rPr>
        <w:t xml:space="preserve">       </w:t>
      </w:r>
      <w:r w:rsidR="00214E6F" w:rsidRPr="00577228">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24 число календарного месяца, за который производится расчет.</w:t>
      </w:r>
    </w:p>
    <w:p w14:paraId="40C970A0"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В случае расторжения (прекращения) договора на оказание услуг до окончания месяца, за который производится расчет, стоимость учитываемых на счете депо ценных бумаг определяется с учетом следующих особенностей:</w:t>
      </w:r>
    </w:p>
    <w:p w14:paraId="0AF27B80" w14:textId="77777777" w:rsidR="00214E6F" w:rsidRPr="00D05CAB" w:rsidRDefault="00214E6F" w:rsidP="00DE79C9">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ценных бумаг рассчитывается за период с 25 числа календарного месяца, предшествующего месяцу, за который производится расчет, по дату расторжения (прекращения) договора</w:t>
      </w:r>
      <w:r w:rsidR="00884E41">
        <w:rPr>
          <w:rFonts w:ascii="Tahoma" w:hAnsi="Tahoma" w:cs="Tahoma"/>
        </w:rPr>
        <w:t>;</w:t>
      </w:r>
      <w:r w:rsidRPr="00D05CAB">
        <w:rPr>
          <w:rFonts w:ascii="Tahoma" w:hAnsi="Tahoma" w:cs="Tahoma"/>
        </w:rPr>
        <w:t xml:space="preserve"> </w:t>
      </w:r>
    </w:p>
    <w:p w14:paraId="13789B05" w14:textId="77777777" w:rsidR="00214E6F" w:rsidRPr="00D05CAB" w:rsidRDefault="00214E6F" w:rsidP="00DE79C9">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ценной бумаги принимается равной последней рыночной цене (3) за предшествующий 91 календарный день, включая день, предшествующий дате расторжения (прекращения) договора;</w:t>
      </w:r>
    </w:p>
    <w:p w14:paraId="14DFC72A" w14:textId="77777777" w:rsidR="00214E6F" w:rsidRPr="00D05CAB" w:rsidRDefault="00214E6F" w:rsidP="00DE79C9">
      <w:pPr>
        <w:widowControl/>
        <w:numPr>
          <w:ilvl w:val="0"/>
          <w:numId w:val="14"/>
        </w:numPr>
        <w:spacing w:line="360" w:lineRule="auto"/>
        <w:ind w:left="993" w:hanging="426"/>
        <w:jc w:val="both"/>
        <w:rPr>
          <w:rFonts w:ascii="Tahoma" w:hAnsi="Tahoma" w:cs="Tahoma"/>
        </w:rPr>
      </w:pPr>
      <w:r w:rsidRPr="00D05CAB">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дату расторжения (прекращения) договора.</w:t>
      </w:r>
    </w:p>
    <w:p w14:paraId="67E86082" w14:textId="77777777" w:rsidR="00214E6F" w:rsidRPr="00D05CAB" w:rsidRDefault="00214E6F" w:rsidP="00DE79C9">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Депозитария НДС не облагается на основании подпункта 12.2 пункта 2 статьи 149 Налогового кодекса Российской Федерации.</w:t>
      </w:r>
    </w:p>
    <w:p w14:paraId="58CB5BA7" w14:textId="77777777" w:rsidR="007311A7" w:rsidRPr="00D05CAB" w:rsidRDefault="007311A7" w:rsidP="00DE79C9">
      <w:pPr>
        <w:spacing w:line="360" w:lineRule="auto"/>
        <w:rPr>
          <w:rFonts w:ascii="Tahoma" w:hAnsi="Tahoma" w:cs="Tahoma"/>
        </w:rPr>
      </w:pPr>
    </w:p>
    <w:sectPr w:rsidR="007311A7" w:rsidRPr="00D05CAB" w:rsidSect="00857FD5">
      <w:footerReference w:type="default" r:id="rId13"/>
      <w:footerReference w:type="first" r:id="rId14"/>
      <w:pgSz w:w="11906" w:h="16838"/>
      <w:pgMar w:top="1134" w:right="851" w:bottom="1135" w:left="1701" w:header="283"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D07D5" w14:textId="77777777" w:rsidR="00137F6D" w:rsidRDefault="00137F6D" w:rsidP="008634E7">
      <w:r>
        <w:separator/>
      </w:r>
    </w:p>
  </w:endnote>
  <w:endnote w:type="continuationSeparator" w:id="0">
    <w:p w14:paraId="53B83DA0" w14:textId="77777777" w:rsidR="00137F6D" w:rsidRDefault="00137F6D" w:rsidP="008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8345" w14:textId="77777777" w:rsidR="000757C7" w:rsidRDefault="000757C7" w:rsidP="000757C7">
    <w:pPr>
      <w:pStyle w:val="a5"/>
      <w:rPr>
        <w:sz w:val="16"/>
      </w:rPr>
    </w:pPr>
  </w:p>
  <w:p w14:paraId="28D3B493" w14:textId="4EDB3704" w:rsidR="004B2F0B" w:rsidRPr="00DE79C9" w:rsidRDefault="008631D7" w:rsidP="00DD44F3">
    <w:pPr>
      <w:pStyle w:val="a5"/>
      <w:rPr>
        <w:rFonts w:ascii="Tahoma" w:hAnsi="Tahoma" w:cs="Tahoma"/>
        <w:color w:val="FFFFFF" w:themeColor="background1"/>
        <w:sz w:val="16"/>
      </w:rPr>
    </w:pPr>
    <w:r w:rsidRPr="00F8490E">
      <w:rPr>
        <w:rFonts w:ascii="Tahoma" w:hAnsi="Tahoma" w:cs="Tahoma"/>
        <w:color w:val="FFFFFF" w:themeColor="background1"/>
        <w:sz w:val="16"/>
        <w:szCs w:val="16"/>
      </w:rPr>
      <w:t>Актуальная верси</w:t>
    </w:r>
    <w:r w:rsidR="00857FD5" w:rsidRPr="00857FD5">
      <w:rPr>
        <w:rFonts w:eastAsia="Calibri"/>
        <w:noProof/>
        <w:color w:val="FFFFFF"/>
      </w:rPr>
      <mc:AlternateContent>
        <mc:Choice Requires="wps">
          <w:drawing>
            <wp:anchor distT="4294967291" distB="4294967291" distL="114300" distR="114300" simplePos="0" relativeHeight="251666432" behindDoc="0" locked="0" layoutInCell="1" allowOverlap="1" wp14:anchorId="0E1AF5E5" wp14:editId="3B57FB2E">
              <wp:simplePos x="0" y="0"/>
              <wp:positionH relativeFrom="margin">
                <wp:posOffset>0</wp:posOffset>
              </wp:positionH>
              <wp:positionV relativeFrom="paragraph">
                <wp:posOffset>0</wp:posOffset>
              </wp:positionV>
              <wp:extent cx="3059430" cy="0"/>
              <wp:effectExtent l="0" t="0" r="26670" b="19050"/>
              <wp:wrapNone/>
              <wp:docPr id="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E31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A46D16" id="Прямая соединительная линия 37" o:spid="_x0000_s1026" style="position:absolute;z-index:2516664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 to="2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" strokecolor="#0e3178">
              <o:lock v:ext="edit" shapetype="f"/>
              <w10:wrap anchorx="margin"/>
            </v:line>
          </w:pict>
        </mc:Fallback>
      </mc:AlternateContent>
    </w:r>
    <w:r w:rsidRPr="00F8490E">
      <w:rPr>
        <w:rFonts w:ascii="Tahoma" w:hAnsi="Tahoma" w:cs="Tahoma"/>
        <w:color w:val="FFFFFF" w:themeColor="background1"/>
        <w:sz w:val="16"/>
        <w:szCs w:val="16"/>
      </w:rPr>
      <w:t xml:space="preserve">я на: </w:t>
    </w:r>
    <w:r w:rsidRPr="00F8490E">
      <w:rPr>
        <w:rFonts w:ascii="Tahoma" w:hAnsi="Tahoma" w:cs="Tahoma"/>
        <w:color w:val="FFFFFF" w:themeColor="background1"/>
        <w:sz w:val="16"/>
        <w:szCs w:val="16"/>
      </w:rPr>
      <w:fldChar w:fldCharType="begin"/>
    </w:r>
    <w:r w:rsidRPr="00F8490E">
      <w:rPr>
        <w:rFonts w:ascii="Tahoma" w:hAnsi="Tahoma" w:cs="Tahoma"/>
        <w:color w:val="FFFFFF" w:themeColor="background1"/>
        <w:sz w:val="16"/>
        <w:szCs w:val="16"/>
      </w:rPr>
      <w:instrText xml:space="preserve"> TIME \@ "dd.MM.yyyy" </w:instrText>
    </w:r>
    <w:r w:rsidRPr="00F8490E">
      <w:rPr>
        <w:rFonts w:ascii="Tahoma" w:hAnsi="Tahoma" w:cs="Tahoma"/>
        <w:color w:val="FFFFFF" w:themeColor="background1"/>
        <w:sz w:val="16"/>
        <w:szCs w:val="16"/>
      </w:rPr>
      <w:fldChar w:fldCharType="separate"/>
    </w:r>
    <w:r w:rsidR="00153D09">
      <w:rPr>
        <w:rFonts w:ascii="Tahoma" w:hAnsi="Tahoma" w:cs="Tahoma"/>
        <w:noProof/>
        <w:color w:val="FFFFFF" w:themeColor="background1"/>
        <w:sz w:val="16"/>
        <w:szCs w:val="16"/>
      </w:rPr>
      <w:t>10.07.2026</w:t>
    </w:r>
    <w:r w:rsidRPr="00F8490E">
      <w:rPr>
        <w:rFonts w:ascii="Tahoma" w:hAnsi="Tahoma" w:cs="Tahoma"/>
        <w:color w:val="FFFFFF" w:themeColor="background1"/>
        <w:sz w:val="16"/>
        <w:szCs w:val="16"/>
      </w:rPr>
      <w:fldChar w:fldCharType="end"/>
    </w:r>
    <w:r w:rsidR="004F5A22" w:rsidRPr="00D27AC1">
      <w:rPr>
        <w:rFonts w:ascii="Tahoma" w:hAnsi="Tahoma" w:cs="Tahoma"/>
        <w:color w:val="FFFFFF" w:themeColor="background1"/>
        <w:sz w:val="16"/>
        <w:szCs w:val="16"/>
      </w:rPr>
      <w:t>Актуальная версия на:</w:t>
    </w:r>
    <w:r w:rsidR="004F5A22" w:rsidRPr="00D27AC1">
      <w:rPr>
        <w:rFonts w:ascii="Tahoma" w:hAnsi="Tahoma" w:cs="Tahoma"/>
        <w:color w:val="FFFFFF" w:themeColor="background1"/>
        <w:sz w:val="16"/>
        <w:szCs w:val="16"/>
      </w:rPr>
      <w:fldChar w:fldCharType="begin"/>
    </w:r>
    <w:r w:rsidR="004F5A22" w:rsidRPr="00D27AC1">
      <w:rPr>
        <w:rFonts w:ascii="Tahoma" w:hAnsi="Tahoma" w:cs="Tahoma"/>
        <w:color w:val="FFFFFF" w:themeColor="background1"/>
        <w:sz w:val="16"/>
        <w:szCs w:val="16"/>
      </w:rPr>
      <w:instrText xml:space="preserve"> TIME \@ "dd.MM.yyyy" </w:instrText>
    </w:r>
    <w:r w:rsidR="004F5A22" w:rsidRPr="00D27AC1">
      <w:rPr>
        <w:rFonts w:ascii="Tahoma" w:hAnsi="Tahoma" w:cs="Tahoma"/>
        <w:color w:val="FFFFFF" w:themeColor="background1"/>
        <w:sz w:val="16"/>
        <w:szCs w:val="16"/>
      </w:rPr>
      <w:fldChar w:fldCharType="separate"/>
    </w:r>
    <w:r w:rsidR="00153D09">
      <w:rPr>
        <w:rFonts w:ascii="Tahoma" w:hAnsi="Tahoma" w:cs="Tahoma"/>
        <w:noProof/>
        <w:color w:val="FFFFFF" w:themeColor="background1"/>
        <w:sz w:val="16"/>
        <w:szCs w:val="16"/>
      </w:rPr>
      <w:t>10.07.2026</w:t>
    </w:r>
    <w:r w:rsidR="004F5A22" w:rsidRPr="00D27AC1">
      <w:rPr>
        <w:rFonts w:ascii="Tahoma" w:hAnsi="Tahoma" w:cs="Tahoma"/>
        <w:color w:val="FFFFFF" w:themeColor="background1"/>
        <w:sz w:val="16"/>
        <w:szCs w:val="16"/>
      </w:rPr>
      <w:fldChar w:fldCharType="end"/>
    </w:r>
    <w:r w:rsidR="004F5A22" w:rsidRPr="00D27AC1">
      <w:rPr>
        <w:rFonts w:ascii="Tahoma" w:hAnsi="Tahoma" w:cs="Tahoma"/>
        <w:color w:val="FFFFFF" w:themeColor="background1"/>
        <w:sz w:val="16"/>
        <w:szCs w:val="16"/>
      </w:rPr>
      <w:t xml:space="preserve">  </w:t>
    </w:r>
    <w:r w:rsidR="000A6D15">
      <w:rPr>
        <w:rFonts w:ascii="Tahoma" w:hAnsi="Tahoma" w:cs="Tahoma"/>
        <w:color w:val="C00000"/>
        <w:sz w:val="16"/>
      </w:rPr>
      <w:t xml:space="preserve"> </w:t>
    </w:r>
    <w:r w:rsidR="00BA5117" w:rsidRPr="00DE79C9">
      <w:rPr>
        <w:rFonts w:ascii="Tahoma" w:hAnsi="Tahoma" w:cs="Tahoma"/>
        <w:color w:val="FFFFFF" w:themeColor="background1"/>
        <w:sz w:val="16"/>
      </w:rPr>
      <w:t>Актуальная версия на:</w:t>
    </w:r>
    <w:r w:rsidR="00BA5117" w:rsidRPr="00DE79C9">
      <w:rPr>
        <w:rFonts w:ascii="Tahoma" w:hAnsi="Tahoma" w:cs="Tahoma"/>
        <w:color w:val="FFFFFF" w:themeColor="background1"/>
        <w:sz w:val="16"/>
      </w:rPr>
      <w:fldChar w:fldCharType="begin"/>
    </w:r>
    <w:r w:rsidR="00BA5117" w:rsidRPr="00DE79C9">
      <w:rPr>
        <w:rFonts w:ascii="Tahoma" w:hAnsi="Tahoma" w:cs="Tahoma"/>
        <w:color w:val="FFFFFF" w:themeColor="background1"/>
        <w:sz w:val="16"/>
      </w:rPr>
      <w:instrText xml:space="preserve"> TIME \@ "dd.MM.yyyy" </w:instrText>
    </w:r>
    <w:r w:rsidR="00BA5117" w:rsidRPr="00DE79C9">
      <w:rPr>
        <w:rFonts w:ascii="Tahoma" w:hAnsi="Tahoma" w:cs="Tahoma"/>
        <w:color w:val="FFFFFF" w:themeColor="background1"/>
        <w:sz w:val="16"/>
      </w:rPr>
      <w:fldChar w:fldCharType="separate"/>
    </w:r>
    <w:r w:rsidR="00153D09">
      <w:rPr>
        <w:rFonts w:ascii="Tahoma" w:hAnsi="Tahoma" w:cs="Tahoma"/>
        <w:noProof/>
        <w:color w:val="FFFFFF" w:themeColor="background1"/>
        <w:sz w:val="16"/>
      </w:rPr>
      <w:t>10.07.2026</w:t>
    </w:r>
    <w:r w:rsidR="00BA5117" w:rsidRPr="00DE79C9">
      <w:rPr>
        <w:rFonts w:ascii="Tahoma" w:hAnsi="Tahoma" w:cs="Tahoma"/>
        <w:color w:val="FFFFFF" w:themeColor="background1"/>
        <w:sz w:val="16"/>
      </w:rPr>
      <w:fldChar w:fldCharType="end"/>
    </w:r>
  </w:p>
  <w:p w14:paraId="0F732C54" w14:textId="79AA9A39" w:rsidR="00DA4DBE" w:rsidRPr="00DA4DBE" w:rsidRDefault="00DA4DBE" w:rsidP="00DA4DBE">
    <w:pPr>
      <w:autoSpaceDE w:val="0"/>
      <w:autoSpaceDN w:val="0"/>
      <w:rPr>
        <w:rFonts w:ascii="Tahoma" w:hAnsi="Tahoma" w:cs="Tahoma"/>
        <w:sz w:val="16"/>
        <w:szCs w:val="16"/>
        <w:lang w:eastAsia="en-US"/>
      </w:rPr>
    </w:pPr>
    <w:r w:rsidRPr="00DA4DBE">
      <w:rPr>
        <w:noProof/>
        <w:sz w:val="22"/>
        <w:szCs w:val="22"/>
      </w:rPr>
      <mc:AlternateContent>
        <mc:Choice Requires="wps">
          <w:drawing>
            <wp:anchor distT="0" distB="0" distL="114300" distR="114300" simplePos="0" relativeHeight="251662336" behindDoc="1" locked="1" layoutInCell="0" allowOverlap="0" wp14:anchorId="50784039" wp14:editId="30449CE8">
              <wp:simplePos x="0" y="0"/>
              <wp:positionH relativeFrom="page">
                <wp:posOffset>6816725</wp:posOffset>
              </wp:positionH>
              <wp:positionV relativeFrom="page">
                <wp:posOffset>10179685</wp:posOffset>
              </wp:positionV>
              <wp:extent cx="525145" cy="344805"/>
              <wp:effectExtent l="13970" t="0" r="3175" b="0"/>
              <wp:wrapNone/>
              <wp:docPr id="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44805"/>
                      </a:xfrm>
                      <a:prstGeom prst="flowChartProcess">
                        <a:avLst/>
                      </a:prstGeom>
                      <a:noFill/>
                      <a:ln>
                        <a:noFill/>
                      </a:ln>
                      <a:extLst/>
                    </wps:spPr>
                    <wps:txbx>
                      <w:txbxContent>
                        <w:p w14:paraId="1E88AA50" w14:textId="77777777" w:rsidR="00DA4DBE" w:rsidRDefault="00DA4DBE" w:rsidP="00DA4DBE">
                          <w:pPr>
                            <w:pStyle w:val="a3"/>
                            <w:jc w:val="center"/>
                            <w:rPr>
                              <w:rFonts w:ascii="Tahoma" w:hAnsi="Tahoma" w:cs="Tahoma"/>
                              <w:sz w:val="20"/>
                              <w:szCs w:val="20"/>
                            </w:rPr>
                          </w:pPr>
                        </w:p>
                        <w:p w14:paraId="7BFA7B60" w14:textId="77777777" w:rsidR="00DA4DBE" w:rsidRDefault="00DA4DBE" w:rsidP="00DA4D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84039" id="_x0000_t109" coordsize="21600,21600" o:spt="109" path="m,l,21600r21600,l21600,xe">
              <v:stroke joinstyle="miter"/>
              <v:path gradientshapeok="t" o:connecttype="rect"/>
            </v:shapetype>
            <v:shape id="AutoShape 87" o:spid="_x0000_s1026" type="#_x0000_t109" style="position:absolute;margin-left:536.75pt;margin-top:801.55pt;width:41.35pt;height:27.15pt;rotation:-9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" o:allowincell="f" o:allowoverlap="f" filled="f" stroked="f">
              <v:textbox>
                <w:txbxContent>
                  <w:p w14:paraId="1E88AA50" w14:textId="77777777" w:rsidR="00DA4DBE" w:rsidRDefault="00DA4DBE" w:rsidP="00DA4DBE">
                    <w:pPr>
                      <w:pStyle w:val="a3"/>
                      <w:jc w:val="center"/>
                      <w:rPr>
                        <w:rFonts w:ascii="Tahoma" w:hAnsi="Tahoma" w:cs="Tahoma"/>
                        <w:sz w:val="20"/>
                        <w:szCs w:val="20"/>
                      </w:rPr>
                    </w:pPr>
                  </w:p>
                  <w:p w14:paraId="7BFA7B60" w14:textId="77777777" w:rsidR="00DA4DBE" w:rsidRDefault="00DA4DBE" w:rsidP="00DA4DBE">
                    <w:pPr>
                      <w:rPr>
                        <w:szCs w:val="22"/>
                      </w:rPr>
                    </w:pPr>
                  </w:p>
                </w:txbxContent>
              </v:textbox>
              <w10:wrap anchorx="page" anchory="page"/>
              <w10:anchorlock/>
            </v:shape>
          </w:pict>
        </mc:Fallback>
      </mc:AlternateContent>
    </w:r>
  </w:p>
  <w:p w14:paraId="5CC34251" w14:textId="77777777" w:rsidR="00F2337F" w:rsidRPr="00D05CAB" w:rsidRDefault="00C20B14" w:rsidP="00DD44F3">
    <w:pPr>
      <w:pStyle w:val="a5"/>
      <w:rPr>
        <w:rFonts w:ascii="Tahoma" w:hAnsi="Tahoma" w:cs="Tahoma"/>
      </w:rPr>
    </w:pPr>
    <w:r w:rsidRPr="00D05CAB">
      <w:rPr>
        <w:rFonts w:ascii="Tahoma" w:hAnsi="Tahoma" w:cs="Tahoma"/>
        <w:noProof/>
      </w:rPr>
      <mc:AlternateContent>
        <mc:Choice Requires="wps">
          <w:drawing>
            <wp:anchor distT="0" distB="0" distL="114300" distR="114300" simplePos="0" relativeHeight="251658240" behindDoc="1" locked="1" layoutInCell="0" allowOverlap="0" wp14:anchorId="2D8FCDE8" wp14:editId="00DAF8EE">
              <wp:simplePos x="0" y="0"/>
              <wp:positionH relativeFrom="page">
                <wp:posOffset>6588760</wp:posOffset>
              </wp:positionH>
              <wp:positionV relativeFrom="page">
                <wp:posOffset>10203180</wp:posOffset>
              </wp:positionV>
              <wp:extent cx="525145" cy="302260"/>
              <wp:effectExtent l="35243" t="0" r="24447"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14:paraId="619FFAC3" w14:textId="5FABEBB7"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153D09">
                            <w:rPr>
                              <w:rFonts w:ascii="Tahoma" w:hAnsi="Tahoma" w:cs="Tahoma"/>
                              <w:noProof/>
                              <w:sz w:val="20"/>
                              <w:szCs w:val="20"/>
                            </w:rPr>
                            <w:t>4</w:t>
                          </w:r>
                          <w:r w:rsidRPr="00E77FDF">
                            <w:rPr>
                              <w:rFonts w:ascii="Tahoma" w:hAnsi="Tahoma" w:cs="Tahoma"/>
                              <w:sz w:val="20"/>
                              <w:szCs w:val="20"/>
                            </w:rPr>
                            <w:fldChar w:fldCharType="end"/>
                          </w:r>
                        </w:p>
                        <w:p w14:paraId="5164017D" w14:textId="77777777" w:rsidR="00C20B14" w:rsidRPr="004A6554" w:rsidRDefault="00C20B14" w:rsidP="00C20B14">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FCDE8" id="_x0000_t109" coordsize="21600,21600" o:spt="109" path="m,l,21600r21600,l21600,xe">
              <v:stroke joinstyle="miter"/>
              <v:path gradientshapeok="t" o:connecttype="rect"/>
            </v:shapetype>
            <v:shape id="_x0000_s1027" type="#_x0000_t109" style="position:absolute;margin-left:518.8pt;margin-top:803.4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" o:allowincell="f" o:allowoverlap="f" filled="f" stroked="f">
              <v:textbox>
                <w:txbxContent>
                  <w:p w14:paraId="619FFAC3" w14:textId="5FABEBB7"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153D09">
                      <w:rPr>
                        <w:rFonts w:ascii="Tahoma" w:hAnsi="Tahoma" w:cs="Tahoma"/>
                        <w:noProof/>
                        <w:sz w:val="20"/>
                        <w:szCs w:val="20"/>
                      </w:rPr>
                      <w:t>4</w:t>
                    </w:r>
                    <w:r w:rsidRPr="00E77FDF">
                      <w:rPr>
                        <w:rFonts w:ascii="Tahoma" w:hAnsi="Tahoma" w:cs="Tahoma"/>
                        <w:sz w:val="20"/>
                        <w:szCs w:val="20"/>
                      </w:rPr>
                      <w:fldChar w:fldCharType="end"/>
                    </w:r>
                  </w:p>
                  <w:p w14:paraId="5164017D" w14:textId="77777777" w:rsidR="00C20B14" w:rsidRPr="004A6554" w:rsidRDefault="00C20B14" w:rsidP="00C20B14">
                    <w:pPr>
                      <w:rPr>
                        <w:color w:val="FFFFFF" w:themeColor="background1"/>
                        <w14:textFill>
                          <w14:noFill/>
                        </w14:textFill>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DEB76" w14:textId="1D64EF70" w:rsidR="00DA4DBE" w:rsidRPr="00DA4DBE" w:rsidRDefault="00857FD5" w:rsidP="00DA4DBE">
    <w:pPr>
      <w:autoSpaceDE w:val="0"/>
      <w:autoSpaceDN w:val="0"/>
      <w:rPr>
        <w:rFonts w:ascii="Tahoma" w:hAnsi="Tahoma" w:cs="Tahoma"/>
        <w:sz w:val="16"/>
        <w:szCs w:val="16"/>
        <w:lang w:eastAsia="en-US"/>
      </w:rPr>
    </w:pPr>
    <w:r w:rsidRPr="00857FD5">
      <w:rPr>
        <w:rFonts w:ascii="Verdana" w:eastAsia="Calibri" w:hAnsi="Verdana"/>
        <w:noProof/>
        <w:color w:val="FFFFFF"/>
        <w:sz w:val="22"/>
        <w:szCs w:val="22"/>
      </w:rPr>
      <mc:AlternateContent>
        <mc:Choice Requires="wps">
          <w:drawing>
            <wp:anchor distT="4294967291" distB="4294967291" distL="114300" distR="114300" simplePos="0" relativeHeight="251664384" behindDoc="0" locked="0" layoutInCell="1" allowOverlap="1" wp14:anchorId="4442553C" wp14:editId="3FCCA574">
              <wp:simplePos x="0" y="0"/>
              <wp:positionH relativeFrom="margin">
                <wp:posOffset>0</wp:posOffset>
              </wp:positionH>
              <wp:positionV relativeFrom="paragraph">
                <wp:posOffset>-635</wp:posOffset>
              </wp:positionV>
              <wp:extent cx="3059430" cy="0"/>
              <wp:effectExtent l="0" t="0" r="2667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E31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9C339F" id="Прямая соединительная линия 37" o:spid="_x0000_s1026" style="position:absolute;z-index:25166438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5pt" to="24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" strokecolor="#0e3178">
              <o:lock v:ext="edit" shapetype="f"/>
              <w10:wrap anchorx="margin"/>
            </v:line>
          </w:pict>
        </mc:Fallback>
      </mc:AlternateContent>
    </w:r>
    <w:r w:rsidR="00DA4DBE" w:rsidRPr="00DA4DBE">
      <w:rPr>
        <w:noProof/>
        <w:sz w:val="22"/>
        <w:szCs w:val="22"/>
      </w:rPr>
      <mc:AlternateContent>
        <mc:Choice Requires="wps">
          <w:drawing>
            <wp:anchor distT="0" distB="0" distL="114300" distR="114300" simplePos="0" relativeHeight="251660288" behindDoc="1" locked="1" layoutInCell="0" allowOverlap="0" wp14:anchorId="41DED7BF" wp14:editId="1D0797FA">
              <wp:simplePos x="0" y="0"/>
              <wp:positionH relativeFrom="page">
                <wp:posOffset>6816725</wp:posOffset>
              </wp:positionH>
              <wp:positionV relativeFrom="page">
                <wp:posOffset>10179685</wp:posOffset>
              </wp:positionV>
              <wp:extent cx="525145" cy="344805"/>
              <wp:effectExtent l="13970" t="0" r="3175" b="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44805"/>
                      </a:xfrm>
                      <a:prstGeom prst="flowChartProcess">
                        <a:avLst/>
                      </a:prstGeom>
                      <a:noFill/>
                      <a:ln>
                        <a:noFill/>
                      </a:ln>
                      <a:extLst/>
                    </wps:spPr>
                    <wps:txbx>
                      <w:txbxContent>
                        <w:p w14:paraId="5134F223" w14:textId="77777777" w:rsidR="00DA4DBE" w:rsidRDefault="00DA4DBE" w:rsidP="00DA4DBE">
                          <w:pPr>
                            <w:pStyle w:val="a3"/>
                            <w:jc w:val="center"/>
                            <w:rPr>
                              <w:rFonts w:ascii="Tahoma" w:hAnsi="Tahoma" w:cs="Tahoma"/>
                              <w:sz w:val="20"/>
                              <w:szCs w:val="20"/>
                            </w:rPr>
                          </w:pPr>
                        </w:p>
                        <w:p w14:paraId="773A0E3D" w14:textId="77777777" w:rsidR="00DA4DBE" w:rsidRDefault="00DA4DBE" w:rsidP="00DA4D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D7BF" id="_x0000_t109" coordsize="21600,21600" o:spt="109" path="m,l,21600r21600,l21600,xe">
              <v:stroke joinstyle="miter"/>
              <v:path gradientshapeok="t" o:connecttype="rect"/>
            </v:shapetype>
            <v:shape id="_x0000_s1028" type="#_x0000_t109" style="position:absolute;margin-left:536.75pt;margin-top:801.55pt;width:41.35pt;height:27.1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" o:allowincell="f" o:allowoverlap="f" filled="f" stroked="f">
              <v:textbox>
                <w:txbxContent>
                  <w:p w14:paraId="5134F223" w14:textId="77777777" w:rsidR="00DA4DBE" w:rsidRDefault="00DA4DBE" w:rsidP="00DA4DBE">
                    <w:pPr>
                      <w:pStyle w:val="a3"/>
                      <w:jc w:val="center"/>
                      <w:rPr>
                        <w:rFonts w:ascii="Tahoma" w:hAnsi="Tahoma" w:cs="Tahoma"/>
                        <w:sz w:val="20"/>
                        <w:szCs w:val="20"/>
                      </w:rPr>
                    </w:pPr>
                  </w:p>
                  <w:p w14:paraId="773A0E3D" w14:textId="77777777" w:rsidR="00DA4DBE" w:rsidRDefault="00DA4DBE" w:rsidP="00DA4DBE">
                    <w:pPr>
                      <w:rPr>
                        <w:szCs w:val="22"/>
                      </w:rPr>
                    </w:pPr>
                  </w:p>
                </w:txbxContent>
              </v:textbox>
              <w10:wrap anchorx="page" anchory="page"/>
              <w10:anchorlock/>
            </v:shape>
          </w:pict>
        </mc:Fallback>
      </mc:AlternateContent>
    </w:r>
  </w:p>
  <w:p w14:paraId="1139A71A" w14:textId="77777777" w:rsidR="00DA4DBE" w:rsidRDefault="00DA4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003B" w14:textId="77777777" w:rsidR="00137F6D" w:rsidRDefault="00137F6D" w:rsidP="008634E7">
      <w:r>
        <w:separator/>
      </w:r>
    </w:p>
  </w:footnote>
  <w:footnote w:type="continuationSeparator" w:id="0">
    <w:p w14:paraId="158D03CB" w14:textId="77777777" w:rsidR="00137F6D" w:rsidRDefault="00137F6D" w:rsidP="008634E7">
      <w:r>
        <w:continuationSeparator/>
      </w:r>
    </w:p>
  </w:footnote>
  <w:footnote w:id="1">
    <w:p w14:paraId="6B8C660D" w14:textId="77777777" w:rsidR="009E1DF6" w:rsidRPr="00F45A0F" w:rsidRDefault="009E1DF6" w:rsidP="00214E6F">
      <w:pPr>
        <w:pStyle w:val="af3"/>
        <w:tabs>
          <w:tab w:val="left" w:pos="360"/>
        </w:tabs>
        <w:ind w:left="284"/>
        <w:jc w:val="both"/>
        <w:rPr>
          <w:rFonts w:ascii="Tahoma" w:hAnsi="Tahoma" w:cs="Tahoma"/>
          <w:sz w:val="16"/>
          <w:szCs w:val="16"/>
        </w:rPr>
      </w:pPr>
      <w:r w:rsidRPr="00F45A0F">
        <w:rPr>
          <w:rStyle w:val="af5"/>
          <w:rFonts w:ascii="Tahoma" w:hAnsi="Tahoma" w:cs="Tahoma"/>
          <w:sz w:val="16"/>
          <w:szCs w:val="16"/>
        </w:rPr>
        <w:footnoteRef/>
      </w:r>
      <w:r w:rsidRPr="00F45A0F">
        <w:rPr>
          <w:rFonts w:ascii="Tahoma" w:hAnsi="Tahoma" w:cs="Tahoma"/>
          <w:sz w:val="16"/>
          <w:szCs w:val="16"/>
        </w:rPr>
        <w:t xml:space="preserve"> При наличии ценных бумаг на счете депо в течение периода, за который производится расчет стоимости услуг.</w:t>
      </w:r>
    </w:p>
  </w:footnote>
  <w:footnote w:id="2">
    <w:p w14:paraId="0433E548" w14:textId="77777777"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Стоимость услуги включает проведение необходимых депозитарных операций (фиксация ограничения распоряжения ценными бумагами, фиксация снятия ограничения распоряжения ценными бумагами, снятие ценных бумаг с учета и/или хранения, прием ценных бумаг на учет /или хранение и т.д.).</w:t>
      </w:r>
    </w:p>
  </w:footnote>
  <w:footnote w:id="3">
    <w:p w14:paraId="55EFB107" w14:textId="77777777"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Платежное поручение формируется для выплаты дохода по каждому выпуску ценных бумаг. В случае если в один день производится выплата по нескольким выпускам ценных бумаг, сумма платежей не суммируется - количество платежных поручений равно </w:t>
      </w:r>
      <w:r w:rsidR="005C10BD" w:rsidRPr="00D05CAB">
        <w:rPr>
          <w:rFonts w:ascii="Tahoma" w:hAnsi="Tahoma" w:cs="Tahoma"/>
          <w:sz w:val="16"/>
          <w:szCs w:val="16"/>
        </w:rPr>
        <w:t>количеству выпусков ценных бумаг,</w:t>
      </w:r>
      <w:r w:rsidRPr="00D05CAB">
        <w:rPr>
          <w:rFonts w:ascii="Tahoma" w:hAnsi="Tahoma" w:cs="Tahoma"/>
          <w:sz w:val="16"/>
          <w:szCs w:val="16"/>
        </w:rPr>
        <w:t xml:space="preserve"> по которым производится выплата. Не применяется при перечислении доходов и иных выплат по ценным бумагам, составляющим имущество ПИФ. </w:t>
      </w:r>
    </w:p>
  </w:footnote>
  <w:footnote w:id="4">
    <w:p w14:paraId="67674A62" w14:textId="77777777"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Контроль за осуществлением Депозитарием валютных операций (валютный контроль) осуществляется кредитной организацией при поступлении на расчетный счет Депозитария денежных средств в иностранной валюте, при осуществлении Депозитарием перевода денежных средств в иностранной валюте, при осуществлении Депозитарием перевода денежных средств в валюте Российской Федерации в пользу нерезидента. В случае если поступившие Депозитарию денежные средства предназначены для выплаты нескольким Депонентам, стоимость услуг кредитной организации по осуществлению функций агента валютного контроля, проводимого при поступлении денежных средств, распределяется между Депонентами пропорционально суммам, подлежащим выплате каждому из них.</w:t>
      </w:r>
    </w:p>
  </w:footnote>
  <w:footnote w:id="5">
    <w:p w14:paraId="009D8093" w14:textId="77777777"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Вышестоящим признается депозитарий, в котором </w:t>
      </w:r>
      <w:r w:rsidR="007E5D77">
        <w:rPr>
          <w:rFonts w:ascii="Tahoma" w:hAnsi="Tahoma" w:cs="Tahoma"/>
          <w:sz w:val="16"/>
          <w:szCs w:val="16"/>
        </w:rPr>
        <w:t>ООО</w:t>
      </w:r>
      <w:r w:rsidRPr="00D05CAB">
        <w:rPr>
          <w:rFonts w:ascii="Tahoma" w:hAnsi="Tahoma" w:cs="Tahoma"/>
          <w:sz w:val="16"/>
          <w:szCs w:val="16"/>
        </w:rPr>
        <w:t xml:space="preserve"> «</w:t>
      </w:r>
      <w:r w:rsidR="00D63573">
        <w:rPr>
          <w:rFonts w:ascii="Tahoma" w:hAnsi="Tahoma" w:cs="Tahoma"/>
          <w:sz w:val="16"/>
          <w:szCs w:val="16"/>
        </w:rPr>
        <w:t>ЛИНКОР</w:t>
      </w:r>
      <w:r w:rsidRPr="00D05CAB">
        <w:rPr>
          <w:rFonts w:ascii="Tahoma" w:hAnsi="Tahoma" w:cs="Tahoma"/>
          <w:sz w:val="16"/>
          <w:szCs w:val="16"/>
        </w:rPr>
        <w:t xml:space="preserve">» открыт счет номинального держателя или счет лица, действующего в интересах других лиц для обеспечения учета прав на ценные бумаги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610"/>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EF357C"/>
    <w:multiLevelType w:val="hybridMultilevel"/>
    <w:tmpl w:val="2FE489E8"/>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253E3"/>
    <w:multiLevelType w:val="hybridMultilevel"/>
    <w:tmpl w:val="058E79D0"/>
    <w:lvl w:ilvl="0" w:tplc="9D2874E6">
      <w:start w:val="1"/>
      <w:numFmt w:val="bullet"/>
      <w:lvlText w:val=""/>
      <w:lvlJc w:val="left"/>
      <w:pPr>
        <w:tabs>
          <w:tab w:val="num" w:pos="1710"/>
        </w:tabs>
        <w:ind w:left="1710" w:hanging="360"/>
      </w:pPr>
      <w:rPr>
        <w:rFonts w:ascii="Symbol" w:hAnsi="Symbol"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17D4626B"/>
    <w:multiLevelType w:val="hybridMultilevel"/>
    <w:tmpl w:val="909C2870"/>
    <w:lvl w:ilvl="0" w:tplc="ADC2919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3873BC"/>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ED5C78"/>
    <w:multiLevelType w:val="hybridMultilevel"/>
    <w:tmpl w:val="84B0E2B0"/>
    <w:lvl w:ilvl="0" w:tplc="ECC631B2">
      <w:start w:val="1"/>
      <w:numFmt w:val="decimal"/>
      <w:lvlText w:val="%1."/>
      <w:lvlJc w:val="left"/>
      <w:pPr>
        <w:ind w:left="420" w:hanging="360"/>
      </w:pPr>
      <w:rPr>
        <w:rFonts w:hint="default"/>
      </w:rPr>
    </w:lvl>
    <w:lvl w:ilvl="1" w:tplc="B6D6E4E0">
      <w:start w:val="1"/>
      <w:numFmt w:val="bullet"/>
      <w:lvlText w:val="-"/>
      <w:lvlJc w:val="left"/>
      <w:pPr>
        <w:ind w:left="1140" w:hanging="360"/>
      </w:pPr>
      <w:rPr>
        <w:rFonts w:ascii="Courier New" w:hAnsi="Courier New"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95A7070"/>
    <w:multiLevelType w:val="hybridMultilevel"/>
    <w:tmpl w:val="71CAED40"/>
    <w:lvl w:ilvl="0" w:tplc="2FF2CBE4">
      <w:start w:val="1"/>
      <w:numFmt w:val="bullet"/>
      <w:lvlText w:val=""/>
      <w:lvlJc w:val="left"/>
      <w:pPr>
        <w:tabs>
          <w:tab w:val="num" w:pos="1710"/>
        </w:tabs>
        <w:ind w:left="1710" w:hanging="360"/>
      </w:pPr>
      <w:rPr>
        <w:rFonts w:ascii="Wingdings" w:hAnsi="Wingdings"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3ECB4399"/>
    <w:multiLevelType w:val="hybridMultilevel"/>
    <w:tmpl w:val="ADDA0694"/>
    <w:lvl w:ilvl="0" w:tplc="ECC631B2">
      <w:start w:val="1"/>
      <w:numFmt w:val="decimal"/>
      <w:lvlText w:val="%1."/>
      <w:lvlJc w:val="left"/>
      <w:pPr>
        <w:ind w:left="420" w:hanging="360"/>
      </w:pPr>
      <w:rPr>
        <w:rFonts w:hint="default"/>
      </w:rPr>
    </w:lvl>
    <w:lvl w:ilvl="1" w:tplc="04190001">
      <w:start w:val="1"/>
      <w:numFmt w:val="bullet"/>
      <w:lvlText w:val=""/>
      <w:lvlJc w:val="left"/>
      <w:pPr>
        <w:ind w:left="1140" w:hanging="360"/>
      </w:pPr>
      <w:rPr>
        <w:rFonts w:ascii="Symbol" w:hAnsi="Symbol" w:hint="default"/>
      </w:rPr>
    </w:lvl>
    <w:lvl w:ilvl="2" w:tplc="04190003">
      <w:start w:val="1"/>
      <w:numFmt w:val="bullet"/>
      <w:lvlText w:val="o"/>
      <w:lvlJc w:val="left"/>
      <w:pPr>
        <w:ind w:left="1860" w:hanging="180"/>
      </w:pPr>
      <w:rPr>
        <w:rFonts w:ascii="Courier New" w:hAnsi="Courier New" w:cs="Courier New" w:hint="default"/>
      </w:r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4166241E"/>
    <w:multiLevelType w:val="hybridMultilevel"/>
    <w:tmpl w:val="AE22F70E"/>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FC351E"/>
    <w:multiLevelType w:val="hybridMultilevel"/>
    <w:tmpl w:val="E262721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9230114"/>
    <w:multiLevelType w:val="hybridMultilevel"/>
    <w:tmpl w:val="022ED66C"/>
    <w:lvl w:ilvl="0" w:tplc="04190005">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5933363D"/>
    <w:multiLevelType w:val="hybridMultilevel"/>
    <w:tmpl w:val="E0C8D96A"/>
    <w:lvl w:ilvl="0" w:tplc="4C92E2E2">
      <w:start w:val="1"/>
      <w:numFmt w:val="bullet"/>
      <w:lvlText w:val=""/>
      <w:lvlJc w:val="left"/>
      <w:pPr>
        <w:ind w:left="1005" w:hanging="360"/>
      </w:pPr>
      <w:rPr>
        <w:rFonts w:ascii="Symbol" w:hAnsi="Symbol" w:hint="default"/>
        <w:color w:val="943634"/>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59DC14E0"/>
    <w:multiLevelType w:val="hybridMultilevel"/>
    <w:tmpl w:val="854E8BCA"/>
    <w:lvl w:ilvl="0" w:tplc="DEC232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650D793E"/>
    <w:multiLevelType w:val="hybridMultilevel"/>
    <w:tmpl w:val="648A620E"/>
    <w:lvl w:ilvl="0" w:tplc="796698F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16E23ED8">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2707E"/>
    <w:multiLevelType w:val="hybridMultilevel"/>
    <w:tmpl w:val="EA5C8164"/>
    <w:lvl w:ilvl="0" w:tplc="4C92E2E2">
      <w:start w:val="1"/>
      <w:numFmt w:val="bullet"/>
      <w:lvlText w:val=""/>
      <w:lvlJc w:val="left"/>
      <w:pPr>
        <w:tabs>
          <w:tab w:val="num" w:pos="1710"/>
        </w:tabs>
        <w:ind w:left="1710" w:hanging="360"/>
      </w:pPr>
      <w:rPr>
        <w:rFonts w:ascii="Symbol" w:hAnsi="Symbol" w:hint="default"/>
        <w:color w:val="943634"/>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76223D35"/>
    <w:multiLevelType w:val="hybridMultilevel"/>
    <w:tmpl w:val="A00ED028"/>
    <w:lvl w:ilvl="0" w:tplc="190090FE">
      <w:start w:val="1"/>
      <w:numFmt w:val="bullet"/>
      <w:lvlText w:val=""/>
      <w:lvlJc w:val="left"/>
      <w:pPr>
        <w:ind w:left="1005" w:hanging="360"/>
      </w:pPr>
      <w:rPr>
        <w:rFonts w:ascii="Symbol" w:hAnsi="Symbol" w:hint="default"/>
        <w:color w:val="auto"/>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
  </w:num>
  <w:num w:numId="6">
    <w:abstractNumId w:val="4"/>
  </w:num>
  <w:num w:numId="7">
    <w:abstractNumId w:val="13"/>
  </w:num>
  <w:num w:numId="8">
    <w:abstractNumId w:val="6"/>
  </w:num>
  <w:num w:numId="9">
    <w:abstractNumId w:val="0"/>
  </w:num>
  <w:num w:numId="10">
    <w:abstractNumId w:val="9"/>
  </w:num>
  <w:num w:numId="11">
    <w:abstractNumId w:val="10"/>
  </w:num>
  <w:num w:numId="12">
    <w:abstractNumId w:val="14"/>
  </w:num>
  <w:num w:numId="13">
    <w:abstractNumId w:val="11"/>
  </w:num>
  <w:num w:numId="14">
    <w:abstractNumId w:val="1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75"/>
    <w:rsid w:val="00025C95"/>
    <w:rsid w:val="000262C9"/>
    <w:rsid w:val="00036577"/>
    <w:rsid w:val="00042647"/>
    <w:rsid w:val="00043F0D"/>
    <w:rsid w:val="00051550"/>
    <w:rsid w:val="000620EB"/>
    <w:rsid w:val="000654F6"/>
    <w:rsid w:val="00070BAE"/>
    <w:rsid w:val="00071788"/>
    <w:rsid w:val="00071C59"/>
    <w:rsid w:val="0007348A"/>
    <w:rsid w:val="00073DBE"/>
    <w:rsid w:val="000757C7"/>
    <w:rsid w:val="0007724B"/>
    <w:rsid w:val="000879F2"/>
    <w:rsid w:val="00090ACA"/>
    <w:rsid w:val="000A5F21"/>
    <w:rsid w:val="000A6D15"/>
    <w:rsid w:val="000C2E58"/>
    <w:rsid w:val="000C383B"/>
    <w:rsid w:val="000E27AC"/>
    <w:rsid w:val="000E3F52"/>
    <w:rsid w:val="000F16FA"/>
    <w:rsid w:val="000F51FE"/>
    <w:rsid w:val="00102E20"/>
    <w:rsid w:val="00104629"/>
    <w:rsid w:val="001061F7"/>
    <w:rsid w:val="00106303"/>
    <w:rsid w:val="0010697E"/>
    <w:rsid w:val="001229DC"/>
    <w:rsid w:val="00137F6D"/>
    <w:rsid w:val="00141065"/>
    <w:rsid w:val="00153D09"/>
    <w:rsid w:val="00167E81"/>
    <w:rsid w:val="00181042"/>
    <w:rsid w:val="001849FD"/>
    <w:rsid w:val="00192F11"/>
    <w:rsid w:val="00193C3C"/>
    <w:rsid w:val="001943BD"/>
    <w:rsid w:val="001B3D1C"/>
    <w:rsid w:val="001B52C9"/>
    <w:rsid w:val="001B776B"/>
    <w:rsid w:val="001C0908"/>
    <w:rsid w:val="001C398B"/>
    <w:rsid w:val="001C584F"/>
    <w:rsid w:val="001C73D3"/>
    <w:rsid w:val="001D2447"/>
    <w:rsid w:val="001D30F2"/>
    <w:rsid w:val="001E7C89"/>
    <w:rsid w:val="001F0A69"/>
    <w:rsid w:val="001F0D37"/>
    <w:rsid w:val="00203ADF"/>
    <w:rsid w:val="00214E6F"/>
    <w:rsid w:val="00220FCE"/>
    <w:rsid w:val="002237B7"/>
    <w:rsid w:val="00226A66"/>
    <w:rsid w:val="00232C33"/>
    <w:rsid w:val="002334BD"/>
    <w:rsid w:val="002444E8"/>
    <w:rsid w:val="00245906"/>
    <w:rsid w:val="00256D88"/>
    <w:rsid w:val="0026117B"/>
    <w:rsid w:val="002644B9"/>
    <w:rsid w:val="002706E1"/>
    <w:rsid w:val="00270CC0"/>
    <w:rsid w:val="00272F5C"/>
    <w:rsid w:val="00276375"/>
    <w:rsid w:val="002800C9"/>
    <w:rsid w:val="002875E8"/>
    <w:rsid w:val="00287DCD"/>
    <w:rsid w:val="002979E8"/>
    <w:rsid w:val="002A1CDE"/>
    <w:rsid w:val="002A31C3"/>
    <w:rsid w:val="002C3391"/>
    <w:rsid w:val="002D6EE9"/>
    <w:rsid w:val="002E036D"/>
    <w:rsid w:val="002E03FB"/>
    <w:rsid w:val="002F0E14"/>
    <w:rsid w:val="002F4710"/>
    <w:rsid w:val="002F592B"/>
    <w:rsid w:val="002F707B"/>
    <w:rsid w:val="003256FB"/>
    <w:rsid w:val="003422F2"/>
    <w:rsid w:val="00354F0C"/>
    <w:rsid w:val="00361621"/>
    <w:rsid w:val="00362808"/>
    <w:rsid w:val="00366598"/>
    <w:rsid w:val="00372116"/>
    <w:rsid w:val="00381577"/>
    <w:rsid w:val="003A3C49"/>
    <w:rsid w:val="003A5707"/>
    <w:rsid w:val="003B331B"/>
    <w:rsid w:val="003B44DE"/>
    <w:rsid w:val="003B55D2"/>
    <w:rsid w:val="003C0B99"/>
    <w:rsid w:val="003C2920"/>
    <w:rsid w:val="003C368C"/>
    <w:rsid w:val="003C43C1"/>
    <w:rsid w:val="003E66DD"/>
    <w:rsid w:val="00401870"/>
    <w:rsid w:val="00404D72"/>
    <w:rsid w:val="00405273"/>
    <w:rsid w:val="00411909"/>
    <w:rsid w:val="0042406B"/>
    <w:rsid w:val="00427329"/>
    <w:rsid w:val="00431CEA"/>
    <w:rsid w:val="004353B8"/>
    <w:rsid w:val="00436E20"/>
    <w:rsid w:val="0043714B"/>
    <w:rsid w:val="00442613"/>
    <w:rsid w:val="00446506"/>
    <w:rsid w:val="00455424"/>
    <w:rsid w:val="00470F8B"/>
    <w:rsid w:val="00496365"/>
    <w:rsid w:val="00497FFD"/>
    <w:rsid w:val="004A44A2"/>
    <w:rsid w:val="004A6554"/>
    <w:rsid w:val="004B2F0B"/>
    <w:rsid w:val="004C2A01"/>
    <w:rsid w:val="004E1FF3"/>
    <w:rsid w:val="004F5A22"/>
    <w:rsid w:val="00510529"/>
    <w:rsid w:val="0051780F"/>
    <w:rsid w:val="00526D0A"/>
    <w:rsid w:val="005271CB"/>
    <w:rsid w:val="00531DD2"/>
    <w:rsid w:val="00531EF8"/>
    <w:rsid w:val="00532DC2"/>
    <w:rsid w:val="00533500"/>
    <w:rsid w:val="00537286"/>
    <w:rsid w:val="0054581C"/>
    <w:rsid w:val="00560E51"/>
    <w:rsid w:val="0057314A"/>
    <w:rsid w:val="00576FA7"/>
    <w:rsid w:val="00577228"/>
    <w:rsid w:val="00592A87"/>
    <w:rsid w:val="00593EFF"/>
    <w:rsid w:val="005B2146"/>
    <w:rsid w:val="005C10BD"/>
    <w:rsid w:val="005C1113"/>
    <w:rsid w:val="005D6049"/>
    <w:rsid w:val="005D7C16"/>
    <w:rsid w:val="005E478C"/>
    <w:rsid w:val="005E666A"/>
    <w:rsid w:val="005E70E2"/>
    <w:rsid w:val="00601D68"/>
    <w:rsid w:val="00623FC2"/>
    <w:rsid w:val="006379DF"/>
    <w:rsid w:val="0064025C"/>
    <w:rsid w:val="006619C5"/>
    <w:rsid w:val="00664894"/>
    <w:rsid w:val="006A15DF"/>
    <w:rsid w:val="006A2F54"/>
    <w:rsid w:val="006B236C"/>
    <w:rsid w:val="006B49E4"/>
    <w:rsid w:val="006B6C99"/>
    <w:rsid w:val="006B7AA1"/>
    <w:rsid w:val="006F7474"/>
    <w:rsid w:val="00700784"/>
    <w:rsid w:val="007073FC"/>
    <w:rsid w:val="00721CE4"/>
    <w:rsid w:val="00722E2C"/>
    <w:rsid w:val="007245DD"/>
    <w:rsid w:val="007311A7"/>
    <w:rsid w:val="00751179"/>
    <w:rsid w:val="00752A7B"/>
    <w:rsid w:val="0076243A"/>
    <w:rsid w:val="00771DAE"/>
    <w:rsid w:val="00773133"/>
    <w:rsid w:val="00780396"/>
    <w:rsid w:val="00781278"/>
    <w:rsid w:val="00781BDA"/>
    <w:rsid w:val="00782C63"/>
    <w:rsid w:val="007845D8"/>
    <w:rsid w:val="007846F5"/>
    <w:rsid w:val="00787A4F"/>
    <w:rsid w:val="007911E2"/>
    <w:rsid w:val="00794BC0"/>
    <w:rsid w:val="0079682A"/>
    <w:rsid w:val="007A496E"/>
    <w:rsid w:val="007C365B"/>
    <w:rsid w:val="007D3CE6"/>
    <w:rsid w:val="007D45D8"/>
    <w:rsid w:val="007D50AE"/>
    <w:rsid w:val="007D6E58"/>
    <w:rsid w:val="007E5D77"/>
    <w:rsid w:val="007E725E"/>
    <w:rsid w:val="007F2827"/>
    <w:rsid w:val="00807B4A"/>
    <w:rsid w:val="00823876"/>
    <w:rsid w:val="00823F3F"/>
    <w:rsid w:val="00825707"/>
    <w:rsid w:val="00827B7D"/>
    <w:rsid w:val="00846194"/>
    <w:rsid w:val="00854088"/>
    <w:rsid w:val="008571CC"/>
    <w:rsid w:val="00857FD5"/>
    <w:rsid w:val="008631D7"/>
    <w:rsid w:val="008634E7"/>
    <w:rsid w:val="00863D2A"/>
    <w:rsid w:val="00871902"/>
    <w:rsid w:val="00884E41"/>
    <w:rsid w:val="00886551"/>
    <w:rsid w:val="00886A46"/>
    <w:rsid w:val="00887DCD"/>
    <w:rsid w:val="00890E8F"/>
    <w:rsid w:val="008A3146"/>
    <w:rsid w:val="008A5DEA"/>
    <w:rsid w:val="008B2360"/>
    <w:rsid w:val="008B505E"/>
    <w:rsid w:val="008C41A8"/>
    <w:rsid w:val="008D6024"/>
    <w:rsid w:val="008D661E"/>
    <w:rsid w:val="008E3E69"/>
    <w:rsid w:val="008F0981"/>
    <w:rsid w:val="008F24E0"/>
    <w:rsid w:val="00900859"/>
    <w:rsid w:val="009067A9"/>
    <w:rsid w:val="00913CE3"/>
    <w:rsid w:val="00916F97"/>
    <w:rsid w:val="009401C3"/>
    <w:rsid w:val="00944FA0"/>
    <w:rsid w:val="00950A2A"/>
    <w:rsid w:val="009570F4"/>
    <w:rsid w:val="00957511"/>
    <w:rsid w:val="00960413"/>
    <w:rsid w:val="009678D4"/>
    <w:rsid w:val="009679A4"/>
    <w:rsid w:val="00972169"/>
    <w:rsid w:val="00972FE8"/>
    <w:rsid w:val="00976326"/>
    <w:rsid w:val="00984929"/>
    <w:rsid w:val="0099533B"/>
    <w:rsid w:val="00997CEB"/>
    <w:rsid w:val="009B251E"/>
    <w:rsid w:val="009B5CA0"/>
    <w:rsid w:val="009C0D47"/>
    <w:rsid w:val="009C19A5"/>
    <w:rsid w:val="009C59B7"/>
    <w:rsid w:val="009C6B06"/>
    <w:rsid w:val="009D6793"/>
    <w:rsid w:val="009D771B"/>
    <w:rsid w:val="009E1DF6"/>
    <w:rsid w:val="009F79FD"/>
    <w:rsid w:val="00A002BE"/>
    <w:rsid w:val="00A007C6"/>
    <w:rsid w:val="00A00B93"/>
    <w:rsid w:val="00A04C90"/>
    <w:rsid w:val="00A10B74"/>
    <w:rsid w:val="00A126CD"/>
    <w:rsid w:val="00A14C04"/>
    <w:rsid w:val="00A179B5"/>
    <w:rsid w:val="00A40A25"/>
    <w:rsid w:val="00A40E4F"/>
    <w:rsid w:val="00A5033F"/>
    <w:rsid w:val="00A57C88"/>
    <w:rsid w:val="00A604E0"/>
    <w:rsid w:val="00A921C1"/>
    <w:rsid w:val="00A958EE"/>
    <w:rsid w:val="00A97F1D"/>
    <w:rsid w:val="00AA0906"/>
    <w:rsid w:val="00AA264C"/>
    <w:rsid w:val="00AA6AB4"/>
    <w:rsid w:val="00AB0CD9"/>
    <w:rsid w:val="00AB5398"/>
    <w:rsid w:val="00AC27B6"/>
    <w:rsid w:val="00AC7094"/>
    <w:rsid w:val="00AC746B"/>
    <w:rsid w:val="00AD007D"/>
    <w:rsid w:val="00AD1A82"/>
    <w:rsid w:val="00AD3118"/>
    <w:rsid w:val="00AD51CC"/>
    <w:rsid w:val="00AE1852"/>
    <w:rsid w:val="00AE2CAB"/>
    <w:rsid w:val="00B07CBC"/>
    <w:rsid w:val="00B12ACD"/>
    <w:rsid w:val="00B12B4C"/>
    <w:rsid w:val="00B17DF2"/>
    <w:rsid w:val="00B26BCC"/>
    <w:rsid w:val="00B26E77"/>
    <w:rsid w:val="00B369EB"/>
    <w:rsid w:val="00B406DD"/>
    <w:rsid w:val="00B42C83"/>
    <w:rsid w:val="00B527FE"/>
    <w:rsid w:val="00B55F61"/>
    <w:rsid w:val="00B654EA"/>
    <w:rsid w:val="00B74FDF"/>
    <w:rsid w:val="00B75BD1"/>
    <w:rsid w:val="00B846F2"/>
    <w:rsid w:val="00B86DEC"/>
    <w:rsid w:val="00B920AE"/>
    <w:rsid w:val="00BA5117"/>
    <w:rsid w:val="00BA51FC"/>
    <w:rsid w:val="00BA56D5"/>
    <w:rsid w:val="00BA5B99"/>
    <w:rsid w:val="00BA71AF"/>
    <w:rsid w:val="00BB3A0C"/>
    <w:rsid w:val="00BC6DC9"/>
    <w:rsid w:val="00BE092C"/>
    <w:rsid w:val="00BE2FE3"/>
    <w:rsid w:val="00BE608B"/>
    <w:rsid w:val="00BF182F"/>
    <w:rsid w:val="00BF31AD"/>
    <w:rsid w:val="00C06328"/>
    <w:rsid w:val="00C1573B"/>
    <w:rsid w:val="00C15B17"/>
    <w:rsid w:val="00C20B14"/>
    <w:rsid w:val="00C25DD3"/>
    <w:rsid w:val="00C27B4A"/>
    <w:rsid w:val="00C367B5"/>
    <w:rsid w:val="00C533C1"/>
    <w:rsid w:val="00C80378"/>
    <w:rsid w:val="00C8384B"/>
    <w:rsid w:val="00C94C5E"/>
    <w:rsid w:val="00C96EE1"/>
    <w:rsid w:val="00CB01ED"/>
    <w:rsid w:val="00CB4948"/>
    <w:rsid w:val="00CD25E8"/>
    <w:rsid w:val="00CE6B90"/>
    <w:rsid w:val="00D03667"/>
    <w:rsid w:val="00D04B52"/>
    <w:rsid w:val="00D058EB"/>
    <w:rsid w:val="00D05CAB"/>
    <w:rsid w:val="00D0648E"/>
    <w:rsid w:val="00D111EA"/>
    <w:rsid w:val="00D27AC1"/>
    <w:rsid w:val="00D27B69"/>
    <w:rsid w:val="00D42DF5"/>
    <w:rsid w:val="00D44C78"/>
    <w:rsid w:val="00D5040C"/>
    <w:rsid w:val="00D63573"/>
    <w:rsid w:val="00D671C9"/>
    <w:rsid w:val="00D81E1E"/>
    <w:rsid w:val="00D82E64"/>
    <w:rsid w:val="00D85BCB"/>
    <w:rsid w:val="00DA3BA4"/>
    <w:rsid w:val="00DA47F6"/>
    <w:rsid w:val="00DA4DBE"/>
    <w:rsid w:val="00DB6995"/>
    <w:rsid w:val="00DB7CB0"/>
    <w:rsid w:val="00DB7D02"/>
    <w:rsid w:val="00DC1618"/>
    <w:rsid w:val="00DD44F3"/>
    <w:rsid w:val="00DE3D12"/>
    <w:rsid w:val="00DE79C9"/>
    <w:rsid w:val="00E02410"/>
    <w:rsid w:val="00E14164"/>
    <w:rsid w:val="00E20EAD"/>
    <w:rsid w:val="00E46B88"/>
    <w:rsid w:val="00E46D6C"/>
    <w:rsid w:val="00E62137"/>
    <w:rsid w:val="00E7021D"/>
    <w:rsid w:val="00E715B1"/>
    <w:rsid w:val="00E724E3"/>
    <w:rsid w:val="00E72EB5"/>
    <w:rsid w:val="00E77FDF"/>
    <w:rsid w:val="00E8164A"/>
    <w:rsid w:val="00E84242"/>
    <w:rsid w:val="00E860E4"/>
    <w:rsid w:val="00E933F4"/>
    <w:rsid w:val="00E97F4D"/>
    <w:rsid w:val="00EA5A77"/>
    <w:rsid w:val="00EA6EEB"/>
    <w:rsid w:val="00EB09AC"/>
    <w:rsid w:val="00EB3626"/>
    <w:rsid w:val="00EC3BDF"/>
    <w:rsid w:val="00EC5236"/>
    <w:rsid w:val="00EC56F0"/>
    <w:rsid w:val="00EC6D34"/>
    <w:rsid w:val="00ED409E"/>
    <w:rsid w:val="00EE48FA"/>
    <w:rsid w:val="00EE65B5"/>
    <w:rsid w:val="00F0122F"/>
    <w:rsid w:val="00F120A8"/>
    <w:rsid w:val="00F12A19"/>
    <w:rsid w:val="00F16F53"/>
    <w:rsid w:val="00F1709E"/>
    <w:rsid w:val="00F2337F"/>
    <w:rsid w:val="00F34CA5"/>
    <w:rsid w:val="00F34CF1"/>
    <w:rsid w:val="00F37C6E"/>
    <w:rsid w:val="00F427C3"/>
    <w:rsid w:val="00F45A0F"/>
    <w:rsid w:val="00F45B48"/>
    <w:rsid w:val="00F57AD7"/>
    <w:rsid w:val="00F61DFA"/>
    <w:rsid w:val="00F63BDB"/>
    <w:rsid w:val="00F65940"/>
    <w:rsid w:val="00F704BD"/>
    <w:rsid w:val="00F72E5B"/>
    <w:rsid w:val="00F81E7A"/>
    <w:rsid w:val="00F82007"/>
    <w:rsid w:val="00F8490E"/>
    <w:rsid w:val="00F900A2"/>
    <w:rsid w:val="00F93166"/>
    <w:rsid w:val="00FA6D2B"/>
    <w:rsid w:val="00FA7090"/>
    <w:rsid w:val="00FA7D9D"/>
    <w:rsid w:val="00FC06DF"/>
    <w:rsid w:val="00FC2514"/>
    <w:rsid w:val="00FC7F99"/>
    <w:rsid w:val="00FD17E5"/>
    <w:rsid w:val="00FD5351"/>
    <w:rsid w:val="00FE075F"/>
    <w:rsid w:val="00FE3F21"/>
    <w:rsid w:val="00FF0177"/>
    <w:rsid w:val="00FF02F7"/>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15408"/>
  <w15:docId w15:val="{18787126-116B-4783-8AAE-9201D83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3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4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14E6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533C1"/>
    <w:pPr>
      <w:keepNext/>
      <w:ind w:right="49"/>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E7"/>
    <w:pPr>
      <w:widowControl/>
      <w:tabs>
        <w:tab w:val="center" w:pos="4677"/>
        <w:tab w:val="right" w:pos="9355"/>
      </w:tabs>
    </w:pPr>
    <w:rPr>
      <w:rFonts w:ascii="Verdana" w:hAnsi="Verdana"/>
      <w:sz w:val="22"/>
      <w:szCs w:val="22"/>
    </w:rPr>
  </w:style>
  <w:style w:type="character" w:customStyle="1" w:styleId="a4">
    <w:name w:val="Верхний колонтитул Знак"/>
    <w:basedOn w:val="a0"/>
    <w:link w:val="a3"/>
    <w:uiPriority w:val="99"/>
    <w:rsid w:val="008634E7"/>
  </w:style>
  <w:style w:type="paragraph" w:styleId="a5">
    <w:name w:val="footer"/>
    <w:basedOn w:val="a"/>
    <w:link w:val="a6"/>
    <w:uiPriority w:val="99"/>
    <w:unhideWhenUsed/>
    <w:rsid w:val="008634E7"/>
    <w:pPr>
      <w:widowControl/>
      <w:tabs>
        <w:tab w:val="center" w:pos="4677"/>
        <w:tab w:val="right" w:pos="9355"/>
      </w:tabs>
    </w:pPr>
    <w:rPr>
      <w:rFonts w:ascii="Verdana" w:hAnsi="Verdana"/>
      <w:sz w:val="22"/>
      <w:szCs w:val="22"/>
    </w:rPr>
  </w:style>
  <w:style w:type="character" w:customStyle="1" w:styleId="a6">
    <w:name w:val="Нижний колонтитул Знак"/>
    <w:basedOn w:val="a0"/>
    <w:link w:val="a5"/>
    <w:uiPriority w:val="99"/>
    <w:rsid w:val="008634E7"/>
  </w:style>
  <w:style w:type="paragraph" w:styleId="a7">
    <w:name w:val="Balloon Text"/>
    <w:basedOn w:val="a"/>
    <w:link w:val="a8"/>
    <w:semiHidden/>
    <w:unhideWhenUsed/>
    <w:rsid w:val="008634E7"/>
    <w:pPr>
      <w:widowControl/>
    </w:pPr>
    <w:rPr>
      <w:rFonts w:ascii="Tahoma" w:hAnsi="Tahoma" w:cs="Tahoma"/>
      <w:sz w:val="16"/>
      <w:szCs w:val="16"/>
    </w:rPr>
  </w:style>
  <w:style w:type="character" w:customStyle="1" w:styleId="a8">
    <w:name w:val="Текст выноски Знак"/>
    <w:basedOn w:val="a0"/>
    <w:link w:val="a7"/>
    <w:uiPriority w:val="99"/>
    <w:semiHidden/>
    <w:rsid w:val="008634E7"/>
    <w:rPr>
      <w:rFonts w:ascii="Tahoma" w:hAnsi="Tahoma" w:cs="Tahoma"/>
      <w:sz w:val="16"/>
      <w:szCs w:val="16"/>
    </w:rPr>
  </w:style>
  <w:style w:type="paragraph" w:styleId="a9">
    <w:name w:val="List Paragraph"/>
    <w:basedOn w:val="a"/>
    <w:uiPriority w:val="34"/>
    <w:qFormat/>
    <w:rsid w:val="0010697E"/>
    <w:pPr>
      <w:widowControl/>
      <w:spacing w:after="200" w:line="276" w:lineRule="auto"/>
      <w:ind w:left="720"/>
      <w:contextualSpacing/>
    </w:pPr>
    <w:rPr>
      <w:rFonts w:ascii="Verdana" w:hAnsi="Verdana"/>
      <w:sz w:val="22"/>
      <w:szCs w:val="22"/>
    </w:rPr>
  </w:style>
  <w:style w:type="character" w:customStyle="1" w:styleId="90">
    <w:name w:val="Заголовок 9 Знак"/>
    <w:basedOn w:val="a0"/>
    <w:link w:val="9"/>
    <w:rsid w:val="00C533C1"/>
    <w:rPr>
      <w:rFonts w:ascii="Times New Roman" w:eastAsia="Times New Roman" w:hAnsi="Times New Roman" w:cs="Times New Roman"/>
      <w:b/>
      <w:szCs w:val="20"/>
      <w:lang w:eastAsia="ru-RU"/>
    </w:rPr>
  </w:style>
  <w:style w:type="paragraph" w:styleId="aa">
    <w:name w:val="Title"/>
    <w:basedOn w:val="a"/>
    <w:link w:val="ab"/>
    <w:qFormat/>
    <w:rsid w:val="00C533C1"/>
    <w:pPr>
      <w:widowControl/>
      <w:jc w:val="center"/>
    </w:pPr>
    <w:rPr>
      <w:b/>
      <w:sz w:val="24"/>
    </w:rPr>
  </w:style>
  <w:style w:type="character" w:customStyle="1" w:styleId="ab">
    <w:name w:val="Заголовок Знак"/>
    <w:basedOn w:val="a0"/>
    <w:link w:val="aa"/>
    <w:rsid w:val="00C533C1"/>
    <w:rPr>
      <w:rFonts w:ascii="Times New Roman" w:eastAsia="Times New Roman" w:hAnsi="Times New Roman" w:cs="Times New Roman"/>
      <w:b/>
      <w:sz w:val="24"/>
      <w:szCs w:val="20"/>
      <w:lang w:eastAsia="ru-RU"/>
    </w:rPr>
  </w:style>
  <w:style w:type="character" w:styleId="ac">
    <w:name w:val="Hyperlink"/>
    <w:basedOn w:val="a0"/>
    <w:uiPriority w:val="99"/>
    <w:unhideWhenUsed/>
    <w:rsid w:val="00193C3C"/>
    <w:rPr>
      <w:color w:val="0000FF" w:themeColor="hyperlink"/>
      <w:u w:val="single"/>
    </w:rPr>
  </w:style>
  <w:style w:type="table" w:styleId="ad">
    <w:name w:val="Table Grid"/>
    <w:basedOn w:val="a1"/>
    <w:uiPriority w:val="59"/>
    <w:rsid w:val="00FC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AC7094"/>
    <w:rPr>
      <w:sz w:val="16"/>
      <w:szCs w:val="16"/>
    </w:rPr>
  </w:style>
  <w:style w:type="paragraph" w:styleId="af">
    <w:name w:val="annotation text"/>
    <w:basedOn w:val="a"/>
    <w:link w:val="af0"/>
    <w:uiPriority w:val="99"/>
    <w:unhideWhenUsed/>
    <w:rsid w:val="00AC7094"/>
  </w:style>
  <w:style w:type="character" w:customStyle="1" w:styleId="af0">
    <w:name w:val="Текст примечания Знак"/>
    <w:basedOn w:val="a0"/>
    <w:link w:val="af"/>
    <w:uiPriority w:val="99"/>
    <w:rsid w:val="00AC7094"/>
    <w:rPr>
      <w:rFonts w:ascii="Times New Roman" w:eastAsia="Times New Roman" w:hAnsi="Times New Roman" w:cs="Times New Roman"/>
      <w:sz w:val="20"/>
      <w:szCs w:val="20"/>
      <w:lang w:eastAsia="ru-RU"/>
    </w:rPr>
  </w:style>
  <w:style w:type="paragraph" w:styleId="af1">
    <w:name w:val="annotation subject"/>
    <w:basedOn w:val="af"/>
    <w:next w:val="af"/>
    <w:link w:val="af2"/>
    <w:unhideWhenUsed/>
    <w:rsid w:val="00AC7094"/>
    <w:rPr>
      <w:b/>
      <w:bCs/>
    </w:rPr>
  </w:style>
  <w:style w:type="character" w:customStyle="1" w:styleId="af2">
    <w:name w:val="Тема примечания Знак"/>
    <w:basedOn w:val="af0"/>
    <w:link w:val="af1"/>
    <w:rsid w:val="00AC7094"/>
    <w:rPr>
      <w:rFonts w:ascii="Times New Roman" w:eastAsia="Times New Roman" w:hAnsi="Times New Roman" w:cs="Times New Roman"/>
      <w:b/>
      <w:bCs/>
      <w:sz w:val="20"/>
      <w:szCs w:val="20"/>
      <w:lang w:eastAsia="ru-RU"/>
    </w:rPr>
  </w:style>
  <w:style w:type="paragraph" w:customStyle="1" w:styleId="Default">
    <w:name w:val="Default"/>
    <w:rsid w:val="00AC746B"/>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9F79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0">
    <w:name w:val="Заголовок 1 Знак"/>
    <w:basedOn w:val="a0"/>
    <w:link w:val="1"/>
    <w:uiPriority w:val="9"/>
    <w:rsid w:val="00214E6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14E6F"/>
    <w:rPr>
      <w:rFonts w:asciiTheme="majorHAnsi" w:eastAsiaTheme="majorEastAsia" w:hAnsiTheme="majorHAnsi" w:cstheme="majorBidi"/>
      <w:b/>
      <w:bCs/>
      <w:color w:val="4F81BD" w:themeColor="accent1"/>
      <w:sz w:val="20"/>
      <w:szCs w:val="20"/>
      <w:lang w:eastAsia="ru-RU"/>
    </w:rPr>
  </w:style>
  <w:style w:type="paragraph" w:styleId="af3">
    <w:name w:val="footnote text"/>
    <w:basedOn w:val="a"/>
    <w:link w:val="af4"/>
    <w:semiHidden/>
    <w:rsid w:val="00214E6F"/>
    <w:pPr>
      <w:widowControl/>
    </w:pPr>
  </w:style>
  <w:style w:type="character" w:customStyle="1" w:styleId="af4">
    <w:name w:val="Текст сноски Знак"/>
    <w:basedOn w:val="a0"/>
    <w:link w:val="af3"/>
    <w:semiHidden/>
    <w:rsid w:val="00214E6F"/>
    <w:rPr>
      <w:rFonts w:ascii="Times New Roman" w:eastAsia="Times New Roman" w:hAnsi="Times New Roman" w:cs="Times New Roman"/>
      <w:sz w:val="20"/>
      <w:szCs w:val="20"/>
      <w:lang w:eastAsia="ru-RU"/>
    </w:rPr>
  </w:style>
  <w:style w:type="character" w:styleId="af5">
    <w:name w:val="footnote reference"/>
    <w:semiHidden/>
    <w:rsid w:val="00214E6F"/>
    <w:rPr>
      <w:vertAlign w:val="superscript"/>
    </w:rPr>
  </w:style>
  <w:style w:type="character" w:styleId="af6">
    <w:name w:val="page number"/>
    <w:basedOn w:val="a0"/>
    <w:rsid w:val="00214E6F"/>
  </w:style>
  <w:style w:type="paragraph" w:styleId="af7">
    <w:name w:val="Document Map"/>
    <w:basedOn w:val="a"/>
    <w:link w:val="af8"/>
    <w:semiHidden/>
    <w:rsid w:val="00214E6F"/>
    <w:pPr>
      <w:widowControl/>
      <w:shd w:val="clear" w:color="auto" w:fill="000080"/>
    </w:pPr>
    <w:rPr>
      <w:rFonts w:ascii="Tahoma" w:hAnsi="Tahoma" w:cs="Tahoma"/>
    </w:rPr>
  </w:style>
  <w:style w:type="character" w:customStyle="1" w:styleId="af8">
    <w:name w:val="Схема документа Знак"/>
    <w:basedOn w:val="a0"/>
    <w:link w:val="af7"/>
    <w:semiHidden/>
    <w:rsid w:val="00214E6F"/>
    <w:rPr>
      <w:rFonts w:ascii="Tahoma" w:eastAsia="Times New Roman" w:hAnsi="Tahoma" w:cs="Tahoma"/>
      <w:sz w:val="20"/>
      <w:szCs w:val="20"/>
      <w:shd w:val="clear" w:color="auto" w:fill="000080"/>
      <w:lang w:eastAsia="ru-RU"/>
    </w:rPr>
  </w:style>
  <w:style w:type="paragraph" w:styleId="af9">
    <w:name w:val="No Spacing"/>
    <w:link w:val="afa"/>
    <w:uiPriority w:val="1"/>
    <w:rsid w:val="00807B4A"/>
    <w:pPr>
      <w:spacing w:after="0" w:line="240" w:lineRule="auto"/>
    </w:pPr>
    <w:rPr>
      <w:rFonts w:ascii="Calibri" w:eastAsia="Calibri" w:hAnsi="Calibri" w:cs="Times New Roman"/>
    </w:rPr>
  </w:style>
  <w:style w:type="character" w:customStyle="1" w:styleId="afa">
    <w:name w:val="Без интервала Знак"/>
    <w:link w:val="af9"/>
    <w:uiPriority w:val="1"/>
    <w:rsid w:val="00807B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46393">
      <w:bodyDiv w:val="1"/>
      <w:marLeft w:val="0"/>
      <w:marRight w:val="0"/>
      <w:marTop w:val="0"/>
      <w:marBottom w:val="0"/>
      <w:divBdr>
        <w:top w:val="none" w:sz="0" w:space="0" w:color="auto"/>
        <w:left w:val="none" w:sz="0" w:space="0" w:color="auto"/>
        <w:bottom w:val="none" w:sz="0" w:space="0" w:color="auto"/>
        <w:right w:val="none" w:sz="0" w:space="0" w:color="auto"/>
      </w:divBdr>
    </w:div>
    <w:div w:id="1274359278">
      <w:bodyDiv w:val="1"/>
      <w:marLeft w:val="0"/>
      <w:marRight w:val="0"/>
      <w:marTop w:val="0"/>
      <w:marBottom w:val="0"/>
      <w:divBdr>
        <w:top w:val="none" w:sz="0" w:space="0" w:color="auto"/>
        <w:left w:val="none" w:sz="0" w:space="0" w:color="auto"/>
        <w:bottom w:val="none" w:sz="0" w:space="0" w:color="auto"/>
        <w:right w:val="none" w:sz="0" w:space="0" w:color="auto"/>
      </w:divBdr>
    </w:div>
    <w:div w:id="1359962084">
      <w:bodyDiv w:val="1"/>
      <w:marLeft w:val="0"/>
      <w:marRight w:val="0"/>
      <w:marTop w:val="0"/>
      <w:marBottom w:val="0"/>
      <w:divBdr>
        <w:top w:val="none" w:sz="0" w:space="0" w:color="auto"/>
        <w:left w:val="none" w:sz="0" w:space="0" w:color="auto"/>
        <w:bottom w:val="none" w:sz="0" w:space="0" w:color="auto"/>
        <w:right w:val="none" w:sz="0" w:space="0" w:color="auto"/>
      </w:divBdr>
    </w:div>
    <w:div w:id="1575432620">
      <w:bodyDiv w:val="1"/>
      <w:marLeft w:val="0"/>
      <w:marRight w:val="0"/>
      <w:marTop w:val="0"/>
      <w:marBottom w:val="0"/>
      <w:divBdr>
        <w:top w:val="none" w:sz="0" w:space="0" w:color="auto"/>
        <w:left w:val="none" w:sz="0" w:space="0" w:color="auto"/>
        <w:bottom w:val="none" w:sz="0" w:space="0" w:color="auto"/>
        <w:right w:val="none" w:sz="0" w:space="0" w:color="auto"/>
      </w:divBdr>
    </w:div>
    <w:div w:id="1617129658">
      <w:bodyDiv w:val="1"/>
      <w:marLeft w:val="0"/>
      <w:marRight w:val="0"/>
      <w:marTop w:val="0"/>
      <w:marBottom w:val="0"/>
      <w:divBdr>
        <w:top w:val="none" w:sz="0" w:space="0" w:color="auto"/>
        <w:left w:val="none" w:sz="0" w:space="0" w:color="auto"/>
        <w:bottom w:val="none" w:sz="0" w:space="0" w:color="auto"/>
        <w:right w:val="none" w:sz="0" w:space="0" w:color="auto"/>
      </w:divBdr>
      <w:divsChild>
        <w:div w:id="1285229858">
          <w:marLeft w:val="0"/>
          <w:marRight w:val="0"/>
          <w:marTop w:val="0"/>
          <w:marBottom w:val="0"/>
          <w:divBdr>
            <w:top w:val="none" w:sz="0" w:space="0" w:color="auto"/>
            <w:left w:val="none" w:sz="0" w:space="0" w:color="auto"/>
            <w:bottom w:val="none" w:sz="0" w:space="0" w:color="auto"/>
            <w:right w:val="none" w:sz="0" w:space="0" w:color="auto"/>
          </w:divBdr>
          <w:divsChild>
            <w:div w:id="194931795">
              <w:marLeft w:val="0"/>
              <w:marRight w:val="0"/>
              <w:marTop w:val="0"/>
              <w:marBottom w:val="0"/>
              <w:divBdr>
                <w:top w:val="none" w:sz="0" w:space="0" w:color="auto"/>
                <w:left w:val="none" w:sz="0" w:space="0" w:color="auto"/>
                <w:bottom w:val="none" w:sz="0" w:space="0" w:color="auto"/>
                <w:right w:val="none" w:sz="0" w:space="0" w:color="auto"/>
              </w:divBdr>
              <w:divsChild>
                <w:div w:id="846138386">
                  <w:marLeft w:val="0"/>
                  <w:marRight w:val="0"/>
                  <w:marTop w:val="0"/>
                  <w:marBottom w:val="0"/>
                  <w:divBdr>
                    <w:top w:val="none" w:sz="0" w:space="0" w:color="auto"/>
                    <w:left w:val="none" w:sz="0" w:space="0" w:color="auto"/>
                    <w:bottom w:val="none" w:sz="0" w:space="0" w:color="auto"/>
                    <w:right w:val="none" w:sz="0" w:space="0" w:color="auto"/>
                  </w:divBdr>
                  <w:divsChild>
                    <w:div w:id="677082435">
                      <w:marLeft w:val="0"/>
                      <w:marRight w:val="0"/>
                      <w:marTop w:val="0"/>
                      <w:marBottom w:val="0"/>
                      <w:divBdr>
                        <w:top w:val="none" w:sz="0" w:space="0" w:color="auto"/>
                        <w:left w:val="none" w:sz="0" w:space="0" w:color="auto"/>
                        <w:bottom w:val="none" w:sz="0" w:space="0" w:color="auto"/>
                        <w:right w:val="none" w:sz="0" w:space="0" w:color="auto"/>
                      </w:divBdr>
                      <w:divsChild>
                        <w:div w:id="286547839">
                          <w:marLeft w:val="0"/>
                          <w:marRight w:val="0"/>
                          <w:marTop w:val="0"/>
                          <w:marBottom w:val="0"/>
                          <w:divBdr>
                            <w:top w:val="none" w:sz="0" w:space="0" w:color="auto"/>
                            <w:left w:val="none" w:sz="0" w:space="0" w:color="auto"/>
                            <w:bottom w:val="none" w:sz="0" w:space="0" w:color="auto"/>
                            <w:right w:val="none" w:sz="0" w:space="0" w:color="auto"/>
                          </w:divBdr>
                          <w:divsChild>
                            <w:div w:id="1021317789">
                              <w:marLeft w:val="4223"/>
                              <w:marRight w:val="0"/>
                              <w:marTop w:val="0"/>
                              <w:marBottom w:val="0"/>
                              <w:divBdr>
                                <w:top w:val="none" w:sz="0" w:space="0" w:color="auto"/>
                                <w:left w:val="none" w:sz="0" w:space="0" w:color="auto"/>
                                <w:bottom w:val="none" w:sz="0" w:space="0" w:color="auto"/>
                                <w:right w:val="none" w:sz="0" w:space="0" w:color="auto"/>
                              </w:divBdr>
                              <w:divsChild>
                                <w:div w:id="97994979">
                                  <w:marLeft w:val="0"/>
                                  <w:marRight w:val="0"/>
                                  <w:marTop w:val="0"/>
                                  <w:marBottom w:val="0"/>
                                  <w:divBdr>
                                    <w:top w:val="none" w:sz="0" w:space="0" w:color="auto"/>
                                    <w:left w:val="none" w:sz="0" w:space="0" w:color="auto"/>
                                    <w:bottom w:val="none" w:sz="0" w:space="0" w:color="auto"/>
                                    <w:right w:val="none" w:sz="0" w:space="0" w:color="auto"/>
                                  </w:divBdr>
                                  <w:divsChild>
                                    <w:div w:id="136536004">
                                      <w:marLeft w:val="0"/>
                                      <w:marRight w:val="0"/>
                                      <w:marTop w:val="0"/>
                                      <w:marBottom w:val="0"/>
                                      <w:divBdr>
                                        <w:top w:val="none" w:sz="0" w:space="0" w:color="auto"/>
                                        <w:left w:val="none" w:sz="0" w:space="0" w:color="auto"/>
                                        <w:bottom w:val="none" w:sz="0" w:space="0" w:color="auto"/>
                                        <w:right w:val="none" w:sz="0" w:space="0" w:color="auto"/>
                                      </w:divBdr>
                                      <w:divsChild>
                                        <w:div w:id="10104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828C-C869-4F16-8254-9D19A9FC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1380</Words>
  <Characters>7869</Characters>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Общий бланк</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dc:title>
  <cp:revision>6</cp:revision>
  <cp:lastPrinted>2026-07-10T08:09:00Z</cp:lastPrinted>
  <dcterms:created xsi:type="dcterms:W3CDTF">2026-07-09T09:53:00Z</dcterms:created>
  <dcterms:modified xsi:type="dcterms:W3CDTF">2026-07-10T08:09:00Z</dcterms:modified>
</cp:coreProperties>
</file>